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59A2" w14:textId="277EF31D" w:rsidR="00F77398" w:rsidRDefault="00BF5E51" w:rsidP="00F77398">
      <w:pPr>
        <w:ind w:right="72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July </w:t>
      </w:r>
      <w:r w:rsidR="00E630DF">
        <w:rPr>
          <w:rFonts w:ascii="Times New Roman" w:eastAsiaTheme="minorHAnsi" w:hAnsi="Times New Roman"/>
          <w:color w:val="000000"/>
          <w:sz w:val="20"/>
          <w:szCs w:val="20"/>
        </w:rPr>
        <w:t>16</w:t>
      </w:r>
      <w:r w:rsidR="00F77398">
        <w:rPr>
          <w:rFonts w:ascii="Times New Roman" w:eastAsiaTheme="minorHAnsi" w:hAnsi="Times New Roman"/>
          <w:color w:val="000000"/>
          <w:sz w:val="20"/>
          <w:szCs w:val="20"/>
        </w:rPr>
        <w:t>, 2024</w:t>
      </w:r>
    </w:p>
    <w:p w14:paraId="770C832D" w14:textId="77777777" w:rsidR="00F77398" w:rsidRPr="00EF645F" w:rsidRDefault="00F77398" w:rsidP="00F77398">
      <w:pPr>
        <w:ind w:right="72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PEEHIP</w:t>
      </w:r>
      <w:r w:rsidRPr="00EF645F">
        <w:rPr>
          <w:rFonts w:ascii="Times New Roman" w:eastAsiaTheme="minorHAnsi" w:hAnsi="Times New Roman"/>
          <w:color w:val="000000"/>
          <w:sz w:val="20"/>
          <w:szCs w:val="20"/>
        </w:rPr>
        <w:t xml:space="preserve"> Participating Employers:</w:t>
      </w:r>
    </w:p>
    <w:p w14:paraId="361141B2" w14:textId="475BD998" w:rsidR="00F77398" w:rsidRDefault="00F77398" w:rsidP="00F77398">
      <w:pPr>
        <w:pStyle w:val="Default"/>
        <w:ind w:right="720"/>
        <w:jc w:val="both"/>
        <w:rPr>
          <w:rFonts w:ascii="Times New Roman" w:hAnsi="Times New Roman" w:cs="Times New Roman"/>
          <w:sz w:val="20"/>
          <w:szCs w:val="20"/>
        </w:rPr>
      </w:pPr>
      <w:r w:rsidRPr="008C7811">
        <w:rPr>
          <w:rFonts w:ascii="Times New Roman" w:hAnsi="Times New Roman" w:cs="Times New Roman"/>
          <w:sz w:val="20"/>
          <w:szCs w:val="20"/>
        </w:rPr>
        <w:t xml:space="preserve">The Governmental Accounting Standards Board (GASB) has issued </w:t>
      </w:r>
      <w:r>
        <w:rPr>
          <w:rFonts w:ascii="Times New Roman" w:hAnsi="Times New Roman" w:cs="Times New Roman"/>
          <w:sz w:val="20"/>
          <w:szCs w:val="20"/>
        </w:rPr>
        <w:t xml:space="preserve">two accounting and financial reporting standards </w:t>
      </w:r>
      <w:r w:rsidRPr="008C7811">
        <w:rPr>
          <w:rFonts w:ascii="Times New Roman" w:hAnsi="Times New Roman" w:cs="Times New Roman"/>
          <w:sz w:val="20"/>
          <w:szCs w:val="20"/>
        </w:rPr>
        <w:t xml:space="preserve">related to </w:t>
      </w:r>
      <w:r>
        <w:rPr>
          <w:rFonts w:ascii="Times New Roman" w:hAnsi="Times New Roman" w:cs="Times New Roman"/>
          <w:sz w:val="20"/>
          <w:szCs w:val="20"/>
        </w:rPr>
        <w:t>other postemployment benefits (OPEB) plans provided through state and local governments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GASB 74 and 75). </w:t>
      </w:r>
      <w:r>
        <w:rPr>
          <w:rFonts w:ascii="Times New Roman" w:hAnsi="Times New Roman" w:cs="Times New Roman"/>
          <w:iCs/>
          <w:sz w:val="20"/>
          <w:szCs w:val="20"/>
        </w:rPr>
        <w:t>GASB 75 is e</w:t>
      </w:r>
      <w:r w:rsidRPr="008C7811">
        <w:rPr>
          <w:rFonts w:ascii="Times New Roman" w:hAnsi="Times New Roman" w:cs="Times New Roman"/>
          <w:sz w:val="20"/>
          <w:szCs w:val="20"/>
        </w:rPr>
        <w:t>ffective for</w:t>
      </w:r>
      <w:r>
        <w:rPr>
          <w:rFonts w:ascii="Times New Roman" w:hAnsi="Times New Roman" w:cs="Times New Roman"/>
          <w:sz w:val="20"/>
          <w:szCs w:val="20"/>
        </w:rPr>
        <w:t xml:space="preserve"> employers with fiscal years beginning after June 15, 2017. This standard </w:t>
      </w:r>
      <w:r w:rsidRPr="008C7811">
        <w:rPr>
          <w:rFonts w:ascii="Times New Roman" w:hAnsi="Times New Roman" w:cs="Times New Roman"/>
          <w:sz w:val="20"/>
          <w:szCs w:val="20"/>
        </w:rPr>
        <w:t>affect</w:t>
      </w:r>
      <w:r>
        <w:rPr>
          <w:rFonts w:ascii="Times New Roman" w:hAnsi="Times New Roman" w:cs="Times New Roman"/>
          <w:sz w:val="20"/>
          <w:szCs w:val="20"/>
        </w:rPr>
        <w:t>s</w:t>
      </w:r>
      <w:r w:rsidRPr="008C7811">
        <w:rPr>
          <w:rFonts w:ascii="Times New Roman" w:hAnsi="Times New Roman" w:cs="Times New Roman"/>
          <w:sz w:val="20"/>
          <w:szCs w:val="20"/>
        </w:rPr>
        <w:t xml:space="preserve"> reporting for all employers participating in the </w:t>
      </w:r>
      <w:r>
        <w:rPr>
          <w:rFonts w:ascii="Times New Roman" w:hAnsi="Times New Roman" w:cs="Times New Roman"/>
          <w:sz w:val="20"/>
          <w:szCs w:val="20"/>
        </w:rPr>
        <w:t xml:space="preserve">Public Education Employees’ Health Insurance Plan (PEEHIP), a health insurance plan for active and retired employees. </w:t>
      </w:r>
      <w:r w:rsidRPr="008C7811">
        <w:rPr>
          <w:rFonts w:ascii="Times New Roman" w:hAnsi="Times New Roman" w:cs="Times New Roman"/>
          <w:sz w:val="20"/>
          <w:szCs w:val="20"/>
        </w:rPr>
        <w:t>The September 30, 20</w:t>
      </w:r>
      <w:r>
        <w:rPr>
          <w:rFonts w:ascii="Times New Roman" w:hAnsi="Times New Roman" w:cs="Times New Roman"/>
          <w:sz w:val="20"/>
          <w:szCs w:val="20"/>
        </w:rPr>
        <w:t>2</w:t>
      </w:r>
      <w:r w:rsidR="007851B9">
        <w:rPr>
          <w:rFonts w:ascii="Times New Roman" w:hAnsi="Times New Roman" w:cs="Times New Roman"/>
          <w:sz w:val="20"/>
          <w:szCs w:val="20"/>
        </w:rPr>
        <w:t>4</w:t>
      </w:r>
      <w:r>
        <w:rPr>
          <w:rFonts w:ascii="Times New Roman" w:hAnsi="Times New Roman" w:cs="Times New Roman"/>
          <w:sz w:val="20"/>
          <w:szCs w:val="20"/>
        </w:rPr>
        <w:t xml:space="preserve"> (reporting date)</w:t>
      </w:r>
      <w:r w:rsidRPr="008C7811">
        <w:rPr>
          <w:rFonts w:ascii="Times New Roman" w:hAnsi="Times New Roman" w:cs="Times New Roman"/>
          <w:sz w:val="20"/>
          <w:szCs w:val="20"/>
        </w:rPr>
        <w:t xml:space="preserve"> employer’s net </w:t>
      </w:r>
      <w:r>
        <w:rPr>
          <w:rFonts w:ascii="Times New Roman" w:hAnsi="Times New Roman" w:cs="Times New Roman"/>
          <w:sz w:val="20"/>
          <w:szCs w:val="20"/>
        </w:rPr>
        <w:t xml:space="preserve">OPEB </w:t>
      </w:r>
      <w:r w:rsidRPr="008C7811">
        <w:rPr>
          <w:rFonts w:ascii="Times New Roman" w:hAnsi="Times New Roman" w:cs="Times New Roman"/>
          <w:sz w:val="20"/>
          <w:szCs w:val="20"/>
        </w:rPr>
        <w:t xml:space="preserve">liability calculation has been determined based upon the September 30, </w:t>
      </w:r>
      <w:proofErr w:type="gramStart"/>
      <w:r w:rsidRPr="008C7811">
        <w:rPr>
          <w:rFonts w:ascii="Times New Roman" w:hAnsi="Times New Roman" w:cs="Times New Roman"/>
          <w:sz w:val="20"/>
          <w:szCs w:val="20"/>
        </w:rPr>
        <w:t>20</w:t>
      </w:r>
      <w:r>
        <w:rPr>
          <w:rFonts w:ascii="Times New Roman" w:hAnsi="Times New Roman" w:cs="Times New Roman"/>
          <w:sz w:val="20"/>
          <w:szCs w:val="20"/>
        </w:rPr>
        <w:t>2</w:t>
      </w:r>
      <w:r w:rsidR="007851B9">
        <w:rPr>
          <w:rFonts w:ascii="Times New Roman" w:hAnsi="Times New Roman" w:cs="Times New Roman"/>
          <w:sz w:val="20"/>
          <w:szCs w:val="20"/>
        </w:rPr>
        <w:t>2</w:t>
      </w:r>
      <w:proofErr w:type="gramEnd"/>
      <w:r w:rsidRPr="008C7811">
        <w:rPr>
          <w:rFonts w:ascii="Times New Roman" w:hAnsi="Times New Roman" w:cs="Times New Roman"/>
          <w:sz w:val="20"/>
          <w:szCs w:val="20"/>
        </w:rPr>
        <w:t xml:space="preserve"> actuarial valuation rolled forward to September 30, 20</w:t>
      </w:r>
      <w:r>
        <w:rPr>
          <w:rFonts w:ascii="Times New Roman" w:hAnsi="Times New Roman" w:cs="Times New Roman"/>
          <w:sz w:val="20"/>
          <w:szCs w:val="20"/>
        </w:rPr>
        <w:t>2</w:t>
      </w:r>
      <w:r w:rsidR="007851B9">
        <w:rPr>
          <w:rFonts w:ascii="Times New Roman" w:hAnsi="Times New Roman" w:cs="Times New Roman"/>
          <w:sz w:val="20"/>
          <w:szCs w:val="20"/>
        </w:rPr>
        <w:t>3</w:t>
      </w:r>
      <w:r w:rsidRPr="008C7811">
        <w:rPr>
          <w:rFonts w:ascii="Times New Roman" w:hAnsi="Times New Roman" w:cs="Times New Roman"/>
          <w:sz w:val="20"/>
          <w:szCs w:val="20"/>
        </w:rPr>
        <w:t xml:space="preserve"> </w:t>
      </w:r>
      <w:r>
        <w:rPr>
          <w:rFonts w:ascii="Times New Roman" w:hAnsi="Times New Roman" w:cs="Times New Roman"/>
          <w:sz w:val="20"/>
          <w:szCs w:val="20"/>
        </w:rPr>
        <w:t xml:space="preserve">(measurement date) </w:t>
      </w:r>
      <w:r w:rsidRPr="008C7811">
        <w:rPr>
          <w:rFonts w:ascii="Times New Roman" w:hAnsi="Times New Roman" w:cs="Times New Roman"/>
          <w:sz w:val="20"/>
          <w:szCs w:val="20"/>
        </w:rPr>
        <w:t>using standard roll-forward techniques.</w:t>
      </w:r>
    </w:p>
    <w:p w14:paraId="4F121651" w14:textId="77777777" w:rsidR="00F77398" w:rsidRPr="008C7811" w:rsidRDefault="00F77398" w:rsidP="00F77398">
      <w:pPr>
        <w:pStyle w:val="Default"/>
        <w:ind w:right="720"/>
        <w:jc w:val="both"/>
        <w:rPr>
          <w:rFonts w:ascii="Times New Roman" w:hAnsi="Times New Roman" w:cs="Times New Roman"/>
          <w:sz w:val="20"/>
          <w:szCs w:val="20"/>
        </w:rPr>
      </w:pPr>
    </w:p>
    <w:p w14:paraId="03EEF44D" w14:textId="77777777" w:rsidR="00F77398" w:rsidRPr="008C7811" w:rsidRDefault="00F77398" w:rsidP="00F77398">
      <w:pPr>
        <w:pStyle w:val="Default"/>
        <w:ind w:right="720"/>
        <w:jc w:val="both"/>
        <w:rPr>
          <w:rFonts w:ascii="Times New Roman" w:hAnsi="Times New Roman" w:cs="Times New Roman"/>
          <w:sz w:val="20"/>
          <w:szCs w:val="20"/>
        </w:rPr>
      </w:pPr>
      <w:r>
        <w:rPr>
          <w:rFonts w:ascii="Times New Roman" w:hAnsi="Times New Roman" w:cs="Times New Roman"/>
          <w:sz w:val="20"/>
          <w:szCs w:val="20"/>
        </w:rPr>
        <w:t xml:space="preserve">The audit plan outlined below is based on the guidance from Chapter 14 Defined Benefit Postemployment Benefits Other Than Pensions (Plan and Employer Considerations) from the AICPA Audit Guide of State and Local Governments (the Guide). This memo assumes that each CPA firm has read and is knowledgeable of the Guide. </w:t>
      </w:r>
    </w:p>
    <w:p w14:paraId="011EDD68" w14:textId="77777777" w:rsidR="00F77398" w:rsidRPr="008C7811" w:rsidRDefault="00F77398" w:rsidP="00F77398">
      <w:pPr>
        <w:pStyle w:val="Default"/>
        <w:ind w:right="720"/>
        <w:jc w:val="both"/>
        <w:rPr>
          <w:rFonts w:ascii="Times New Roman" w:hAnsi="Times New Roman" w:cs="Times New Roman"/>
          <w:sz w:val="20"/>
          <w:szCs w:val="20"/>
        </w:rPr>
      </w:pPr>
    </w:p>
    <w:p w14:paraId="1820916F" w14:textId="77777777" w:rsidR="00F77398" w:rsidRPr="00EF645F" w:rsidRDefault="00F77398" w:rsidP="00F77398">
      <w:pPr>
        <w:pStyle w:val="Default"/>
        <w:ind w:right="720"/>
        <w:jc w:val="both"/>
        <w:rPr>
          <w:rFonts w:ascii="Times New Roman" w:hAnsi="Times New Roman" w:cs="Times New Roman"/>
          <w:b/>
          <w:bCs/>
          <w:iCs/>
          <w:sz w:val="20"/>
          <w:szCs w:val="20"/>
        </w:rPr>
      </w:pPr>
      <w:r w:rsidRPr="00EF645F">
        <w:rPr>
          <w:rFonts w:ascii="Times New Roman" w:hAnsi="Times New Roman" w:cs="Times New Roman"/>
          <w:b/>
          <w:bCs/>
          <w:iCs/>
          <w:sz w:val="20"/>
          <w:szCs w:val="20"/>
        </w:rPr>
        <w:t>Schedule of Employer Allocations</w:t>
      </w:r>
    </w:p>
    <w:p w14:paraId="34782113" w14:textId="77777777" w:rsidR="00F77398" w:rsidRPr="008C7811" w:rsidRDefault="00F77398" w:rsidP="00F77398">
      <w:pPr>
        <w:pStyle w:val="Default"/>
        <w:ind w:right="720"/>
        <w:jc w:val="both"/>
        <w:rPr>
          <w:rFonts w:ascii="Times New Roman" w:hAnsi="Times New Roman" w:cs="Times New Roman"/>
          <w:bCs/>
          <w:iCs/>
          <w:sz w:val="20"/>
          <w:szCs w:val="20"/>
        </w:rPr>
      </w:pPr>
    </w:p>
    <w:p w14:paraId="7F999B65" w14:textId="77777777" w:rsidR="00F77398" w:rsidRDefault="00F77398" w:rsidP="00F77398">
      <w:pPr>
        <w:pStyle w:val="Default"/>
        <w:ind w:right="720"/>
        <w:jc w:val="both"/>
        <w:rPr>
          <w:rStyle w:val="Hyperlink"/>
          <w:rFonts w:ascii="Times New Roman" w:hAnsi="Times New Roman" w:cs="Times New Roman"/>
          <w:bCs/>
          <w:iCs/>
          <w:sz w:val="20"/>
          <w:szCs w:val="20"/>
        </w:rPr>
      </w:pPr>
      <w:r>
        <w:rPr>
          <w:rFonts w:ascii="Times New Roman" w:hAnsi="Times New Roman" w:cs="Times New Roman"/>
          <w:bCs/>
          <w:iCs/>
          <w:sz w:val="20"/>
          <w:szCs w:val="20"/>
        </w:rPr>
        <w:t xml:space="preserve">PEEHIP </w:t>
      </w:r>
      <w:r w:rsidRPr="008C7811">
        <w:rPr>
          <w:rFonts w:ascii="Times New Roman" w:hAnsi="Times New Roman" w:cs="Times New Roman"/>
          <w:bCs/>
          <w:iCs/>
          <w:sz w:val="20"/>
          <w:szCs w:val="20"/>
        </w:rPr>
        <w:t xml:space="preserve">has prepared a schedule of employer </w:t>
      </w:r>
      <w:r>
        <w:rPr>
          <w:rFonts w:ascii="Times New Roman" w:hAnsi="Times New Roman" w:cs="Times New Roman"/>
          <w:bCs/>
          <w:iCs/>
          <w:sz w:val="20"/>
          <w:szCs w:val="20"/>
        </w:rPr>
        <w:t xml:space="preserve">percentages </w:t>
      </w:r>
      <w:r w:rsidRPr="008C7811">
        <w:rPr>
          <w:rFonts w:ascii="Times New Roman" w:hAnsi="Times New Roman" w:cs="Times New Roman"/>
          <w:bCs/>
          <w:iCs/>
          <w:sz w:val="20"/>
          <w:szCs w:val="20"/>
        </w:rPr>
        <w:t>that displays the proportionate relationship of employer contributions of each employer to all employers and calculates each employer’s allocation percentage.</w:t>
      </w:r>
      <w:r>
        <w:rPr>
          <w:rFonts w:ascii="Times New Roman" w:hAnsi="Times New Roman" w:cs="Times New Roman"/>
          <w:bCs/>
          <w:iCs/>
          <w:sz w:val="20"/>
          <w:szCs w:val="20"/>
        </w:rPr>
        <w:t xml:space="preserve"> </w:t>
      </w:r>
      <w:r w:rsidRPr="008C7811">
        <w:rPr>
          <w:rFonts w:ascii="Times New Roman" w:hAnsi="Times New Roman" w:cs="Times New Roman"/>
          <w:bCs/>
          <w:iCs/>
          <w:sz w:val="20"/>
          <w:szCs w:val="20"/>
        </w:rPr>
        <w:t>In addition, we have engaged our auditor to obtain reasonable assuranc</w:t>
      </w:r>
      <w:r>
        <w:rPr>
          <w:rFonts w:ascii="Times New Roman" w:hAnsi="Times New Roman" w:cs="Times New Roman"/>
          <w:bCs/>
          <w:iCs/>
          <w:sz w:val="20"/>
          <w:szCs w:val="20"/>
        </w:rPr>
        <w:t xml:space="preserve">e and report on this schedule. </w:t>
      </w:r>
      <w:r w:rsidRPr="008C7811">
        <w:rPr>
          <w:rFonts w:ascii="Times New Roman" w:hAnsi="Times New Roman" w:cs="Times New Roman"/>
          <w:bCs/>
          <w:iCs/>
          <w:sz w:val="20"/>
          <w:szCs w:val="20"/>
        </w:rPr>
        <w:t>The</w:t>
      </w:r>
      <w:r>
        <w:rPr>
          <w:rFonts w:ascii="Times New Roman" w:hAnsi="Times New Roman" w:cs="Times New Roman"/>
          <w:bCs/>
          <w:iCs/>
          <w:sz w:val="20"/>
          <w:szCs w:val="20"/>
        </w:rPr>
        <w:t>ir</w:t>
      </w:r>
      <w:r w:rsidRPr="008C7811">
        <w:rPr>
          <w:rFonts w:ascii="Times New Roman" w:hAnsi="Times New Roman" w:cs="Times New Roman"/>
          <w:bCs/>
          <w:iCs/>
          <w:sz w:val="20"/>
          <w:szCs w:val="20"/>
        </w:rPr>
        <w:t xml:space="preserve"> report</w:t>
      </w:r>
      <w:r>
        <w:rPr>
          <w:rFonts w:ascii="Times New Roman" w:hAnsi="Times New Roman" w:cs="Times New Roman"/>
          <w:bCs/>
          <w:iCs/>
          <w:sz w:val="20"/>
          <w:szCs w:val="20"/>
        </w:rPr>
        <w:t xml:space="preserve"> is available on our website, </w:t>
      </w:r>
      <w:hyperlink r:id="rId8" w:history="1">
        <w:r w:rsidRPr="00233AA9">
          <w:rPr>
            <w:rStyle w:val="Hyperlink"/>
            <w:rFonts w:ascii="Times New Roman" w:hAnsi="Times New Roman" w:cs="Times New Roman"/>
            <w:bCs/>
            <w:iCs/>
            <w:sz w:val="20"/>
            <w:szCs w:val="20"/>
          </w:rPr>
          <w:t>www.rsa-al.gov</w:t>
        </w:r>
      </w:hyperlink>
      <w:r>
        <w:rPr>
          <w:rStyle w:val="Hyperlink"/>
          <w:rFonts w:ascii="Times New Roman" w:hAnsi="Times New Roman" w:cs="Times New Roman"/>
          <w:bCs/>
          <w:iCs/>
          <w:sz w:val="20"/>
          <w:szCs w:val="20"/>
        </w:rPr>
        <w:t>.</w:t>
      </w:r>
    </w:p>
    <w:p w14:paraId="42EB70CF" w14:textId="77777777" w:rsidR="00F77398" w:rsidRPr="008C7811" w:rsidRDefault="00F77398" w:rsidP="00F77398">
      <w:pPr>
        <w:pStyle w:val="Default"/>
        <w:ind w:right="720"/>
        <w:jc w:val="both"/>
        <w:rPr>
          <w:rFonts w:ascii="Times New Roman" w:hAnsi="Times New Roman" w:cs="Times New Roman"/>
          <w:bCs/>
          <w:iCs/>
          <w:sz w:val="20"/>
          <w:szCs w:val="20"/>
        </w:rPr>
      </w:pPr>
    </w:p>
    <w:p w14:paraId="5D5381D9" w14:textId="77777777" w:rsidR="00F77398" w:rsidRPr="00EF645F" w:rsidRDefault="00F77398" w:rsidP="00F77398">
      <w:pPr>
        <w:pStyle w:val="Default"/>
        <w:ind w:right="720"/>
        <w:jc w:val="both"/>
        <w:rPr>
          <w:rFonts w:ascii="Times New Roman" w:hAnsi="Times New Roman" w:cs="Times New Roman"/>
          <w:b/>
          <w:bCs/>
          <w:iCs/>
          <w:sz w:val="20"/>
          <w:szCs w:val="20"/>
        </w:rPr>
      </w:pPr>
      <w:r w:rsidRPr="00EF645F">
        <w:rPr>
          <w:rFonts w:ascii="Times New Roman" w:hAnsi="Times New Roman" w:cs="Times New Roman"/>
          <w:b/>
          <w:bCs/>
          <w:iCs/>
          <w:sz w:val="20"/>
          <w:szCs w:val="20"/>
        </w:rPr>
        <w:t xml:space="preserve">Schedule of </w:t>
      </w:r>
      <w:r>
        <w:rPr>
          <w:rFonts w:ascii="Times New Roman" w:hAnsi="Times New Roman" w:cs="Times New Roman"/>
          <w:b/>
          <w:bCs/>
          <w:iCs/>
          <w:sz w:val="20"/>
          <w:szCs w:val="20"/>
        </w:rPr>
        <w:t>OPEB</w:t>
      </w:r>
      <w:r w:rsidRPr="00EF645F">
        <w:rPr>
          <w:rFonts w:ascii="Times New Roman" w:hAnsi="Times New Roman" w:cs="Times New Roman"/>
          <w:b/>
          <w:bCs/>
          <w:iCs/>
          <w:sz w:val="20"/>
          <w:szCs w:val="20"/>
        </w:rPr>
        <w:t xml:space="preserve"> Amounts by Employer</w:t>
      </w:r>
    </w:p>
    <w:p w14:paraId="67A95B10" w14:textId="77777777" w:rsidR="00F77398" w:rsidRPr="008C7811" w:rsidRDefault="00F77398" w:rsidP="00F77398">
      <w:pPr>
        <w:pStyle w:val="Default"/>
        <w:ind w:right="720"/>
        <w:jc w:val="both"/>
        <w:rPr>
          <w:rFonts w:ascii="Times New Roman" w:hAnsi="Times New Roman" w:cs="Times New Roman"/>
          <w:bCs/>
          <w:iCs/>
          <w:sz w:val="20"/>
          <w:szCs w:val="20"/>
        </w:rPr>
      </w:pPr>
    </w:p>
    <w:p w14:paraId="671770F7" w14:textId="3DA59C7E" w:rsidR="00F77398" w:rsidRPr="008C7811" w:rsidRDefault="00F77398" w:rsidP="00F77398">
      <w:pPr>
        <w:pStyle w:val="Default"/>
        <w:ind w:right="720"/>
        <w:jc w:val="both"/>
        <w:rPr>
          <w:rFonts w:ascii="Times New Roman" w:hAnsi="Times New Roman" w:cs="Times New Roman"/>
          <w:bCs/>
          <w:iCs/>
          <w:sz w:val="20"/>
          <w:szCs w:val="20"/>
        </w:rPr>
      </w:pPr>
      <w:r>
        <w:rPr>
          <w:rFonts w:ascii="Times New Roman" w:hAnsi="Times New Roman" w:cs="Times New Roman"/>
          <w:bCs/>
          <w:iCs/>
          <w:sz w:val="20"/>
          <w:szCs w:val="20"/>
        </w:rPr>
        <w:t>PEEHIP</w:t>
      </w:r>
      <w:r w:rsidRPr="008C7811">
        <w:rPr>
          <w:rFonts w:ascii="Times New Roman" w:hAnsi="Times New Roman" w:cs="Times New Roman"/>
          <w:bCs/>
          <w:iCs/>
          <w:sz w:val="20"/>
          <w:szCs w:val="20"/>
        </w:rPr>
        <w:t xml:space="preserve"> has prepared a schedule of </w:t>
      </w:r>
      <w:r>
        <w:rPr>
          <w:rFonts w:ascii="Times New Roman" w:hAnsi="Times New Roman" w:cs="Times New Roman"/>
          <w:bCs/>
          <w:iCs/>
          <w:sz w:val="20"/>
          <w:szCs w:val="20"/>
        </w:rPr>
        <w:t xml:space="preserve">OPEB </w:t>
      </w:r>
      <w:r w:rsidRPr="008C7811">
        <w:rPr>
          <w:rFonts w:ascii="Times New Roman" w:hAnsi="Times New Roman" w:cs="Times New Roman"/>
          <w:bCs/>
          <w:iCs/>
          <w:sz w:val="20"/>
          <w:szCs w:val="20"/>
        </w:rPr>
        <w:t>amounts by employer which presents the</w:t>
      </w:r>
      <w:r>
        <w:rPr>
          <w:rFonts w:ascii="Times New Roman" w:hAnsi="Times New Roman" w:cs="Times New Roman"/>
          <w:bCs/>
          <w:iCs/>
          <w:sz w:val="20"/>
          <w:szCs w:val="20"/>
        </w:rPr>
        <w:t xml:space="preserve"> proportionate share of the </w:t>
      </w:r>
      <w:r w:rsidRPr="008C7811">
        <w:rPr>
          <w:rFonts w:ascii="Times New Roman" w:hAnsi="Times New Roman" w:cs="Times New Roman"/>
          <w:bCs/>
          <w:iCs/>
          <w:sz w:val="20"/>
          <w:szCs w:val="20"/>
        </w:rPr>
        <w:t xml:space="preserve">net </w:t>
      </w:r>
      <w:r>
        <w:rPr>
          <w:rFonts w:ascii="Times New Roman" w:hAnsi="Times New Roman" w:cs="Times New Roman"/>
          <w:bCs/>
          <w:iCs/>
          <w:sz w:val="20"/>
          <w:szCs w:val="20"/>
        </w:rPr>
        <w:t xml:space="preserve">OPEB </w:t>
      </w:r>
      <w:r w:rsidRPr="008C7811">
        <w:rPr>
          <w:rFonts w:ascii="Times New Roman" w:hAnsi="Times New Roman" w:cs="Times New Roman"/>
          <w:bCs/>
          <w:iCs/>
          <w:sz w:val="20"/>
          <w:szCs w:val="20"/>
        </w:rPr>
        <w:t>liability, deferred outflows of resources, deferred inflows of resources</w:t>
      </w:r>
      <w:r>
        <w:rPr>
          <w:rFonts w:ascii="Times New Roman" w:hAnsi="Times New Roman" w:cs="Times New Roman"/>
          <w:bCs/>
          <w:iCs/>
          <w:sz w:val="20"/>
          <w:szCs w:val="20"/>
        </w:rPr>
        <w:t>,</w:t>
      </w:r>
      <w:r w:rsidRPr="008C7811">
        <w:rPr>
          <w:rFonts w:ascii="Times New Roman" w:hAnsi="Times New Roman" w:cs="Times New Roman"/>
          <w:bCs/>
          <w:iCs/>
          <w:sz w:val="20"/>
          <w:szCs w:val="20"/>
        </w:rPr>
        <w:t xml:space="preserve"> and </w:t>
      </w:r>
      <w:r>
        <w:rPr>
          <w:rFonts w:ascii="Times New Roman" w:hAnsi="Times New Roman" w:cs="Times New Roman"/>
          <w:bCs/>
          <w:iCs/>
          <w:sz w:val="20"/>
          <w:szCs w:val="20"/>
        </w:rPr>
        <w:t>OPEB</w:t>
      </w:r>
      <w:r w:rsidRPr="008C7811">
        <w:rPr>
          <w:rFonts w:ascii="Times New Roman" w:hAnsi="Times New Roman" w:cs="Times New Roman"/>
          <w:bCs/>
          <w:iCs/>
          <w:sz w:val="20"/>
          <w:szCs w:val="20"/>
        </w:rPr>
        <w:t xml:space="preserve"> expense of each employer.</w:t>
      </w:r>
      <w:r>
        <w:rPr>
          <w:rFonts w:ascii="Times New Roman" w:hAnsi="Times New Roman" w:cs="Times New Roman"/>
          <w:bCs/>
          <w:iCs/>
          <w:sz w:val="20"/>
          <w:szCs w:val="20"/>
        </w:rPr>
        <w:t xml:space="preserve"> </w:t>
      </w:r>
      <w:r w:rsidRPr="008C7811">
        <w:rPr>
          <w:rFonts w:ascii="Times New Roman" w:hAnsi="Times New Roman" w:cs="Times New Roman"/>
          <w:bCs/>
          <w:iCs/>
          <w:sz w:val="20"/>
          <w:szCs w:val="20"/>
        </w:rPr>
        <w:t xml:space="preserve">In addition, we have engaged our auditor to obtain reasonable assurance and report on the total </w:t>
      </w:r>
      <w:r>
        <w:rPr>
          <w:rFonts w:ascii="Times New Roman" w:hAnsi="Times New Roman" w:cs="Times New Roman"/>
          <w:bCs/>
          <w:iCs/>
          <w:sz w:val="20"/>
          <w:szCs w:val="20"/>
        </w:rPr>
        <w:t>OP</w:t>
      </w:r>
      <w:r w:rsidR="002241B2">
        <w:rPr>
          <w:rFonts w:ascii="Times New Roman" w:hAnsi="Times New Roman" w:cs="Times New Roman"/>
          <w:bCs/>
          <w:iCs/>
          <w:sz w:val="20"/>
          <w:szCs w:val="20"/>
        </w:rPr>
        <w:t>E</w:t>
      </w:r>
      <w:r>
        <w:rPr>
          <w:rFonts w:ascii="Times New Roman" w:hAnsi="Times New Roman" w:cs="Times New Roman"/>
          <w:bCs/>
          <w:iCs/>
          <w:sz w:val="20"/>
          <w:szCs w:val="20"/>
        </w:rPr>
        <w:t xml:space="preserve">B </w:t>
      </w:r>
      <w:r w:rsidRPr="008C7811">
        <w:rPr>
          <w:rFonts w:ascii="Times New Roman" w:hAnsi="Times New Roman" w:cs="Times New Roman"/>
          <w:bCs/>
          <w:iCs/>
          <w:sz w:val="20"/>
          <w:szCs w:val="20"/>
        </w:rPr>
        <w:t xml:space="preserve">liability, total deferred outflows of resources, total deferred inflows of resources, total </w:t>
      </w:r>
      <w:r>
        <w:rPr>
          <w:rFonts w:ascii="Times New Roman" w:hAnsi="Times New Roman" w:cs="Times New Roman"/>
          <w:bCs/>
          <w:iCs/>
          <w:sz w:val="20"/>
          <w:szCs w:val="20"/>
        </w:rPr>
        <w:t>OPEB</w:t>
      </w:r>
      <w:r w:rsidRPr="008C7811">
        <w:rPr>
          <w:rFonts w:ascii="Times New Roman" w:hAnsi="Times New Roman" w:cs="Times New Roman"/>
          <w:bCs/>
          <w:iCs/>
          <w:sz w:val="20"/>
          <w:szCs w:val="20"/>
        </w:rPr>
        <w:t xml:space="preserve"> expense for the sum of all participating entit</w:t>
      </w:r>
      <w:r>
        <w:rPr>
          <w:rFonts w:ascii="Times New Roman" w:hAnsi="Times New Roman" w:cs="Times New Roman"/>
          <w:bCs/>
          <w:iCs/>
          <w:sz w:val="20"/>
          <w:szCs w:val="20"/>
        </w:rPr>
        <w:t xml:space="preserve">ies included in this schedule. </w:t>
      </w:r>
      <w:r w:rsidRPr="008C7811">
        <w:rPr>
          <w:rFonts w:ascii="Times New Roman" w:hAnsi="Times New Roman" w:cs="Times New Roman"/>
          <w:bCs/>
          <w:iCs/>
          <w:sz w:val="20"/>
          <w:szCs w:val="20"/>
        </w:rPr>
        <w:t>The</w:t>
      </w:r>
      <w:r>
        <w:rPr>
          <w:rFonts w:ascii="Times New Roman" w:hAnsi="Times New Roman" w:cs="Times New Roman"/>
          <w:bCs/>
          <w:iCs/>
          <w:sz w:val="20"/>
          <w:szCs w:val="20"/>
        </w:rPr>
        <w:t>ir</w:t>
      </w:r>
      <w:r w:rsidRPr="008C7811">
        <w:rPr>
          <w:rFonts w:ascii="Times New Roman" w:hAnsi="Times New Roman" w:cs="Times New Roman"/>
          <w:bCs/>
          <w:iCs/>
          <w:sz w:val="20"/>
          <w:szCs w:val="20"/>
        </w:rPr>
        <w:t xml:space="preserve"> report</w:t>
      </w:r>
      <w:r>
        <w:rPr>
          <w:rFonts w:ascii="Times New Roman" w:hAnsi="Times New Roman" w:cs="Times New Roman"/>
          <w:bCs/>
          <w:iCs/>
          <w:sz w:val="20"/>
          <w:szCs w:val="20"/>
        </w:rPr>
        <w:t xml:space="preserve"> is available on our website, </w:t>
      </w:r>
      <w:hyperlink r:id="rId9" w:history="1">
        <w:r w:rsidRPr="00233AA9">
          <w:rPr>
            <w:rStyle w:val="Hyperlink"/>
            <w:rFonts w:ascii="Times New Roman" w:hAnsi="Times New Roman" w:cs="Times New Roman"/>
            <w:bCs/>
            <w:iCs/>
            <w:sz w:val="20"/>
            <w:szCs w:val="20"/>
          </w:rPr>
          <w:t>www.rsa-al.gov</w:t>
        </w:r>
      </w:hyperlink>
      <w:r w:rsidRPr="008C7811">
        <w:rPr>
          <w:rFonts w:ascii="Times New Roman" w:hAnsi="Times New Roman" w:cs="Times New Roman"/>
          <w:bCs/>
          <w:iCs/>
          <w:sz w:val="20"/>
          <w:szCs w:val="20"/>
        </w:rPr>
        <w:t>.</w:t>
      </w:r>
    </w:p>
    <w:p w14:paraId="0955B31D" w14:textId="77777777" w:rsidR="00F77398" w:rsidRPr="008C7811" w:rsidRDefault="00F77398" w:rsidP="00F77398">
      <w:pPr>
        <w:pStyle w:val="Default"/>
        <w:ind w:right="720"/>
        <w:jc w:val="both"/>
        <w:rPr>
          <w:rFonts w:ascii="Times New Roman" w:hAnsi="Times New Roman" w:cs="Times New Roman"/>
          <w:bCs/>
          <w:iCs/>
          <w:sz w:val="20"/>
          <w:szCs w:val="20"/>
        </w:rPr>
      </w:pPr>
    </w:p>
    <w:p w14:paraId="37C50AEB" w14:textId="77777777" w:rsidR="00F77398" w:rsidRPr="008C7811" w:rsidRDefault="00F77398" w:rsidP="00F77398">
      <w:pPr>
        <w:pStyle w:val="Default"/>
        <w:ind w:right="720"/>
        <w:jc w:val="both"/>
        <w:rPr>
          <w:rFonts w:ascii="Times New Roman" w:hAnsi="Times New Roman" w:cs="Times New Roman"/>
          <w:bCs/>
          <w:iCs/>
          <w:sz w:val="20"/>
          <w:szCs w:val="20"/>
        </w:rPr>
      </w:pPr>
      <w:r w:rsidRPr="008C7811">
        <w:rPr>
          <w:rFonts w:ascii="Times New Roman" w:hAnsi="Times New Roman" w:cs="Times New Roman"/>
          <w:bCs/>
          <w:iCs/>
          <w:sz w:val="20"/>
          <w:szCs w:val="20"/>
        </w:rPr>
        <w:t xml:space="preserve">Each participating employer is solely responsible for its financial statements and for evaluating the information used to recognize and disclose </w:t>
      </w:r>
      <w:r>
        <w:rPr>
          <w:rFonts w:ascii="Times New Roman" w:hAnsi="Times New Roman" w:cs="Times New Roman"/>
          <w:bCs/>
          <w:iCs/>
          <w:sz w:val="20"/>
          <w:szCs w:val="20"/>
        </w:rPr>
        <w:t xml:space="preserve">OPEB liability </w:t>
      </w:r>
      <w:r w:rsidRPr="008C7811">
        <w:rPr>
          <w:rFonts w:ascii="Times New Roman" w:hAnsi="Times New Roman" w:cs="Times New Roman"/>
          <w:bCs/>
          <w:iCs/>
          <w:sz w:val="20"/>
          <w:szCs w:val="20"/>
        </w:rPr>
        <w:t>amounts therein.</w:t>
      </w:r>
      <w:r>
        <w:rPr>
          <w:rFonts w:ascii="Times New Roman" w:hAnsi="Times New Roman" w:cs="Times New Roman"/>
          <w:bCs/>
          <w:iCs/>
          <w:sz w:val="20"/>
          <w:szCs w:val="20"/>
        </w:rPr>
        <w:t xml:space="preserve"> </w:t>
      </w:r>
      <w:r w:rsidRPr="008C7811">
        <w:rPr>
          <w:rFonts w:ascii="Times New Roman" w:hAnsi="Times New Roman" w:cs="Times New Roman"/>
          <w:bCs/>
          <w:iCs/>
          <w:sz w:val="20"/>
          <w:szCs w:val="20"/>
        </w:rPr>
        <w:t>Likewise, each participating employer’s auditor is solely responsible for the audit of the e</w:t>
      </w:r>
      <w:r>
        <w:rPr>
          <w:rFonts w:ascii="Times New Roman" w:hAnsi="Times New Roman" w:cs="Times New Roman"/>
          <w:bCs/>
          <w:iCs/>
          <w:sz w:val="20"/>
          <w:szCs w:val="20"/>
        </w:rPr>
        <w:t>mployer’s financial statements.</w:t>
      </w:r>
      <w:r w:rsidRPr="008C7811">
        <w:rPr>
          <w:rFonts w:ascii="Times New Roman" w:hAnsi="Times New Roman" w:cs="Times New Roman"/>
          <w:bCs/>
          <w:iCs/>
          <w:sz w:val="20"/>
          <w:szCs w:val="20"/>
        </w:rPr>
        <w:t xml:space="preserve"> In accordance with the</w:t>
      </w:r>
      <w:r>
        <w:rPr>
          <w:rFonts w:ascii="Times New Roman" w:hAnsi="Times New Roman" w:cs="Times New Roman"/>
          <w:bCs/>
          <w:iCs/>
          <w:sz w:val="20"/>
          <w:szCs w:val="20"/>
        </w:rPr>
        <w:t xml:space="preserve"> Interpretation No. 2, “Auditor of Participating Employer in a Governmental Cost-Sharing Multiple Employer Pension Plan” (AU-C sec. 9500 par. .23 - .29), of AU-C section 500:</w:t>
      </w:r>
    </w:p>
    <w:p w14:paraId="1D40B9BB" w14:textId="77777777" w:rsidR="00F77398" w:rsidRPr="008C7811" w:rsidRDefault="00F77398" w:rsidP="00F77398">
      <w:pPr>
        <w:pStyle w:val="Default"/>
        <w:ind w:right="720" w:firstLine="720"/>
        <w:jc w:val="both"/>
        <w:rPr>
          <w:rFonts w:ascii="Times New Roman" w:hAnsi="Times New Roman" w:cs="Times New Roman"/>
          <w:bCs/>
          <w:iCs/>
          <w:sz w:val="20"/>
          <w:szCs w:val="20"/>
        </w:rPr>
      </w:pPr>
    </w:p>
    <w:p w14:paraId="57220509" w14:textId="77777777" w:rsidR="00F77398" w:rsidRDefault="00F77398" w:rsidP="002241B2">
      <w:pPr>
        <w:pStyle w:val="Default"/>
        <w:ind w:left="720" w:right="720"/>
        <w:rPr>
          <w:rFonts w:ascii="Times New Roman" w:hAnsi="Times New Roman" w:cs="Times New Roman"/>
          <w:bCs/>
          <w:iCs/>
          <w:sz w:val="20"/>
          <w:szCs w:val="20"/>
        </w:rPr>
      </w:pPr>
      <w:r w:rsidRPr="008C7811">
        <w:rPr>
          <w:rFonts w:ascii="Times New Roman" w:hAnsi="Times New Roman" w:cs="Times New Roman"/>
          <w:bCs/>
          <w:iCs/>
          <w:sz w:val="20"/>
          <w:szCs w:val="20"/>
        </w:rPr>
        <w:t>“</w:t>
      </w:r>
      <w:proofErr w:type="gramStart"/>
      <w:r w:rsidRPr="008C7811">
        <w:rPr>
          <w:rFonts w:ascii="Times New Roman" w:hAnsi="Times New Roman" w:cs="Times New Roman"/>
          <w:bCs/>
          <w:iCs/>
          <w:sz w:val="20"/>
          <w:szCs w:val="20"/>
        </w:rPr>
        <w:t>the</w:t>
      </w:r>
      <w:proofErr w:type="gramEnd"/>
      <w:r w:rsidRPr="008C7811">
        <w:rPr>
          <w:rFonts w:ascii="Times New Roman" w:hAnsi="Times New Roman" w:cs="Times New Roman"/>
          <w:bCs/>
          <w:iCs/>
          <w:sz w:val="20"/>
          <w:szCs w:val="20"/>
        </w:rPr>
        <w:t xml:space="preserve"> employer and employer auditor may use the plan auditor’s report on the schedules to provide evidence that the pension amounts allocated to the employer and included in the employer’s financial statements are not materially misstated.”</w:t>
      </w:r>
    </w:p>
    <w:p w14:paraId="4F281CC2" w14:textId="77777777" w:rsidR="00F77398" w:rsidRPr="00C92B3F" w:rsidRDefault="00F77398" w:rsidP="00F77398">
      <w:pPr>
        <w:pStyle w:val="Default"/>
        <w:ind w:left="720" w:right="720"/>
        <w:jc w:val="both"/>
        <w:rPr>
          <w:rFonts w:ascii="Times New Roman" w:hAnsi="Times New Roman" w:cs="Times New Roman"/>
          <w:bCs/>
          <w:iCs/>
          <w:sz w:val="20"/>
          <w:szCs w:val="20"/>
        </w:rPr>
      </w:pPr>
    </w:p>
    <w:p w14:paraId="50E42D4B" w14:textId="77777777" w:rsidR="00F77398" w:rsidRDefault="00F77398" w:rsidP="00F77398">
      <w:pPr>
        <w:pStyle w:val="Default"/>
        <w:ind w:right="720"/>
        <w:jc w:val="both"/>
        <w:rPr>
          <w:rFonts w:ascii="Times New Roman" w:hAnsi="Times New Roman" w:cs="Times New Roman"/>
          <w:b/>
          <w:bCs/>
          <w:iCs/>
          <w:sz w:val="20"/>
          <w:szCs w:val="20"/>
        </w:rPr>
      </w:pPr>
      <w:r>
        <w:rPr>
          <w:rFonts w:ascii="Times New Roman" w:hAnsi="Times New Roman" w:cs="Times New Roman"/>
          <w:bCs/>
          <w:iCs/>
          <w:sz w:val="20"/>
          <w:szCs w:val="20"/>
        </w:rPr>
        <w:t>The interpretation is specific to pension plans; however, the concepts also apply to OPEB plans. The employer auditor should evaluate the plan auditor’s report for adequacy and suitability for the employer auditor purposes.</w:t>
      </w:r>
    </w:p>
    <w:p w14:paraId="7E081151" w14:textId="77777777" w:rsidR="007851B9" w:rsidRDefault="007851B9" w:rsidP="00F77398">
      <w:pPr>
        <w:pStyle w:val="Default"/>
        <w:ind w:right="720"/>
        <w:jc w:val="both"/>
        <w:rPr>
          <w:rFonts w:ascii="Times New Roman" w:hAnsi="Times New Roman" w:cs="Times New Roman"/>
          <w:b/>
          <w:bCs/>
          <w:iCs/>
          <w:sz w:val="20"/>
          <w:szCs w:val="20"/>
        </w:rPr>
      </w:pPr>
    </w:p>
    <w:p w14:paraId="4549EE72" w14:textId="77777777" w:rsidR="007851B9" w:rsidRDefault="007851B9" w:rsidP="00F77398">
      <w:pPr>
        <w:pStyle w:val="Default"/>
        <w:ind w:right="720"/>
        <w:jc w:val="both"/>
        <w:rPr>
          <w:rFonts w:ascii="Times New Roman" w:hAnsi="Times New Roman" w:cs="Times New Roman"/>
          <w:b/>
          <w:bCs/>
          <w:iCs/>
          <w:sz w:val="20"/>
          <w:szCs w:val="20"/>
        </w:rPr>
      </w:pPr>
    </w:p>
    <w:p w14:paraId="754ED37B" w14:textId="77777777" w:rsidR="007851B9" w:rsidRDefault="007851B9" w:rsidP="00F77398">
      <w:pPr>
        <w:pStyle w:val="Default"/>
        <w:ind w:right="720"/>
        <w:jc w:val="both"/>
        <w:rPr>
          <w:rFonts w:ascii="Times New Roman" w:hAnsi="Times New Roman" w:cs="Times New Roman"/>
          <w:b/>
          <w:bCs/>
          <w:iCs/>
          <w:sz w:val="20"/>
          <w:szCs w:val="20"/>
        </w:rPr>
      </w:pPr>
    </w:p>
    <w:p w14:paraId="55E101F1" w14:textId="77777777" w:rsidR="007851B9" w:rsidRDefault="007851B9" w:rsidP="00F77398">
      <w:pPr>
        <w:pStyle w:val="Default"/>
        <w:ind w:right="720"/>
        <w:jc w:val="both"/>
        <w:rPr>
          <w:rFonts w:ascii="Times New Roman" w:hAnsi="Times New Roman" w:cs="Times New Roman"/>
          <w:b/>
          <w:bCs/>
          <w:iCs/>
          <w:sz w:val="20"/>
          <w:szCs w:val="20"/>
        </w:rPr>
      </w:pPr>
    </w:p>
    <w:p w14:paraId="5CAA88E3" w14:textId="6C13FD15" w:rsidR="00F77398" w:rsidRPr="00EF645F" w:rsidRDefault="00F77398" w:rsidP="00F77398">
      <w:pPr>
        <w:pStyle w:val="Default"/>
        <w:ind w:right="720"/>
        <w:jc w:val="both"/>
        <w:rPr>
          <w:rFonts w:ascii="Times New Roman" w:hAnsi="Times New Roman" w:cs="Times New Roman"/>
          <w:b/>
          <w:bCs/>
          <w:iCs/>
          <w:sz w:val="20"/>
          <w:szCs w:val="20"/>
        </w:rPr>
      </w:pPr>
      <w:r w:rsidRPr="00EF645F">
        <w:rPr>
          <w:rFonts w:ascii="Times New Roman" w:hAnsi="Times New Roman" w:cs="Times New Roman"/>
          <w:b/>
          <w:bCs/>
          <w:iCs/>
          <w:sz w:val="20"/>
          <w:szCs w:val="20"/>
        </w:rPr>
        <w:lastRenderedPageBreak/>
        <w:t>Additional Information Regarding Census Data Testing</w:t>
      </w:r>
    </w:p>
    <w:p w14:paraId="155242DC" w14:textId="77777777" w:rsidR="00F77398" w:rsidRPr="008C7811" w:rsidRDefault="00F77398" w:rsidP="00F77398">
      <w:pPr>
        <w:pStyle w:val="Default"/>
        <w:ind w:right="720"/>
        <w:jc w:val="both"/>
        <w:rPr>
          <w:rFonts w:ascii="Times New Roman" w:hAnsi="Times New Roman" w:cs="Times New Roman"/>
          <w:sz w:val="20"/>
          <w:szCs w:val="20"/>
        </w:rPr>
      </w:pPr>
    </w:p>
    <w:p w14:paraId="0FDBB5F6" w14:textId="1664BA55" w:rsidR="00F77398" w:rsidRDefault="00F77398" w:rsidP="00F77398">
      <w:pPr>
        <w:pStyle w:val="Default"/>
        <w:ind w:right="720"/>
        <w:jc w:val="both"/>
        <w:rPr>
          <w:rFonts w:ascii="Times New Roman" w:hAnsi="Times New Roman" w:cs="Times New Roman"/>
          <w:sz w:val="20"/>
          <w:szCs w:val="20"/>
        </w:rPr>
      </w:pPr>
      <w:r>
        <w:rPr>
          <w:rFonts w:ascii="Times New Roman" w:hAnsi="Times New Roman" w:cs="Times New Roman"/>
          <w:sz w:val="20"/>
          <w:szCs w:val="20"/>
        </w:rPr>
        <w:t xml:space="preserve">Total OPEB liability, contributions receivable, and benefit payments are dependent </w:t>
      </w:r>
      <w:r w:rsidRPr="008C7811">
        <w:rPr>
          <w:rFonts w:ascii="Times New Roman" w:hAnsi="Times New Roman" w:cs="Times New Roman"/>
          <w:sz w:val="20"/>
          <w:szCs w:val="20"/>
        </w:rPr>
        <w:t>on the completeness and accuracy of census data.</w:t>
      </w:r>
      <w:r>
        <w:rPr>
          <w:rFonts w:ascii="Times New Roman" w:hAnsi="Times New Roman" w:cs="Times New Roman"/>
          <w:sz w:val="20"/>
          <w:szCs w:val="20"/>
        </w:rPr>
        <w:t xml:space="preserve"> </w:t>
      </w:r>
      <w:r w:rsidRPr="008C7811">
        <w:rPr>
          <w:rFonts w:ascii="Times New Roman" w:hAnsi="Times New Roman" w:cs="Times New Roman"/>
          <w:sz w:val="20"/>
          <w:szCs w:val="20"/>
        </w:rPr>
        <w:t xml:space="preserve">As such, </w:t>
      </w:r>
      <w:proofErr w:type="gramStart"/>
      <w:r w:rsidRPr="008C7811">
        <w:rPr>
          <w:rFonts w:ascii="Times New Roman" w:hAnsi="Times New Roman" w:cs="Times New Roman"/>
          <w:sz w:val="20"/>
          <w:szCs w:val="20"/>
        </w:rPr>
        <w:t>processes</w:t>
      </w:r>
      <w:proofErr w:type="gramEnd"/>
      <w:r w:rsidRPr="008C7811">
        <w:rPr>
          <w:rFonts w:ascii="Times New Roman" w:hAnsi="Times New Roman" w:cs="Times New Roman"/>
          <w:sz w:val="20"/>
          <w:szCs w:val="20"/>
        </w:rPr>
        <w:t xml:space="preserve"> and controls over census data for active employees, inactive employees and retirees are critical.</w:t>
      </w:r>
      <w:r>
        <w:rPr>
          <w:rFonts w:ascii="Times New Roman" w:hAnsi="Times New Roman" w:cs="Times New Roman"/>
          <w:sz w:val="20"/>
          <w:szCs w:val="20"/>
        </w:rPr>
        <w:t xml:space="preserve"> </w:t>
      </w:r>
      <w:r w:rsidRPr="008C7811">
        <w:rPr>
          <w:rFonts w:ascii="Times New Roman" w:hAnsi="Times New Roman" w:cs="Times New Roman"/>
          <w:sz w:val="20"/>
          <w:szCs w:val="20"/>
        </w:rPr>
        <w:t xml:space="preserve">The </w:t>
      </w:r>
      <w:r>
        <w:rPr>
          <w:rFonts w:ascii="Times New Roman" w:hAnsi="Times New Roman" w:cs="Times New Roman"/>
          <w:sz w:val="20"/>
          <w:szCs w:val="20"/>
        </w:rPr>
        <w:t xml:space="preserve">PEEHIP </w:t>
      </w:r>
      <w:r w:rsidRPr="008C7811">
        <w:rPr>
          <w:rFonts w:ascii="Times New Roman" w:hAnsi="Times New Roman" w:cs="Times New Roman"/>
          <w:sz w:val="20"/>
          <w:szCs w:val="20"/>
        </w:rPr>
        <w:t>has designed and implemented a strong process of internal controls over the census data of our members.</w:t>
      </w:r>
      <w:r>
        <w:rPr>
          <w:rFonts w:ascii="Times New Roman" w:hAnsi="Times New Roman" w:cs="Times New Roman"/>
          <w:sz w:val="20"/>
          <w:szCs w:val="20"/>
        </w:rPr>
        <w:t xml:space="preserve"> </w:t>
      </w:r>
      <w:r w:rsidRPr="008C7811">
        <w:rPr>
          <w:rFonts w:ascii="Times New Roman" w:hAnsi="Times New Roman" w:cs="Times New Roman"/>
          <w:sz w:val="20"/>
          <w:szCs w:val="20"/>
        </w:rPr>
        <w:t>These control processes</w:t>
      </w:r>
      <w:r>
        <w:rPr>
          <w:rFonts w:ascii="Times New Roman" w:hAnsi="Times New Roman" w:cs="Times New Roman"/>
          <w:sz w:val="20"/>
          <w:szCs w:val="20"/>
        </w:rPr>
        <w:t xml:space="preserve"> were being examined </w:t>
      </w:r>
      <w:r w:rsidRPr="008C7811">
        <w:rPr>
          <w:rFonts w:ascii="Times New Roman" w:hAnsi="Times New Roman" w:cs="Times New Roman"/>
          <w:sz w:val="20"/>
          <w:szCs w:val="20"/>
        </w:rPr>
        <w:t xml:space="preserve">by an independent firm who </w:t>
      </w:r>
      <w:r>
        <w:rPr>
          <w:rFonts w:ascii="Times New Roman" w:hAnsi="Times New Roman" w:cs="Times New Roman"/>
          <w:sz w:val="20"/>
          <w:szCs w:val="20"/>
        </w:rPr>
        <w:t>issued an SSAE 21 Type 2</w:t>
      </w:r>
      <w:r w:rsidRPr="008C7811">
        <w:rPr>
          <w:rFonts w:ascii="Times New Roman" w:hAnsi="Times New Roman" w:cs="Times New Roman"/>
          <w:sz w:val="20"/>
          <w:szCs w:val="20"/>
        </w:rPr>
        <w:t xml:space="preserve"> report </w:t>
      </w:r>
      <w:r>
        <w:rPr>
          <w:rFonts w:ascii="Times New Roman" w:hAnsi="Times New Roman" w:cs="Times New Roman"/>
          <w:sz w:val="20"/>
          <w:szCs w:val="20"/>
        </w:rPr>
        <w:t>on the</w:t>
      </w:r>
      <w:r w:rsidRPr="008C7811">
        <w:rPr>
          <w:rFonts w:ascii="Times New Roman" w:hAnsi="Times New Roman" w:cs="Times New Roman"/>
          <w:sz w:val="20"/>
          <w:szCs w:val="20"/>
        </w:rPr>
        <w:t xml:space="preserve"> controls </w:t>
      </w:r>
      <w:r>
        <w:rPr>
          <w:rFonts w:ascii="Times New Roman" w:hAnsi="Times New Roman" w:cs="Times New Roman"/>
          <w:sz w:val="20"/>
          <w:szCs w:val="20"/>
        </w:rPr>
        <w:t>that were operating effectively for the period October 1, 202</w:t>
      </w:r>
      <w:r w:rsidR="007851B9">
        <w:rPr>
          <w:rFonts w:ascii="Times New Roman" w:hAnsi="Times New Roman" w:cs="Times New Roman"/>
          <w:sz w:val="20"/>
          <w:szCs w:val="20"/>
        </w:rPr>
        <w:t>2</w:t>
      </w:r>
      <w:r>
        <w:rPr>
          <w:rFonts w:ascii="Times New Roman" w:hAnsi="Times New Roman" w:cs="Times New Roman"/>
          <w:sz w:val="20"/>
          <w:szCs w:val="20"/>
        </w:rPr>
        <w:t xml:space="preserve"> – September 30, 202</w:t>
      </w:r>
      <w:r w:rsidR="007851B9">
        <w:rPr>
          <w:rFonts w:ascii="Times New Roman" w:hAnsi="Times New Roman" w:cs="Times New Roman"/>
          <w:sz w:val="20"/>
          <w:szCs w:val="20"/>
        </w:rPr>
        <w:t>3</w:t>
      </w:r>
      <w:r>
        <w:rPr>
          <w:rFonts w:ascii="Times New Roman" w:hAnsi="Times New Roman" w:cs="Times New Roman"/>
          <w:sz w:val="20"/>
          <w:szCs w:val="20"/>
        </w:rPr>
        <w:t xml:space="preserve">. For further information related to this report, please have your auditor contact the RSA. </w:t>
      </w:r>
    </w:p>
    <w:p w14:paraId="7AE04F24" w14:textId="77777777" w:rsidR="00F77398" w:rsidRDefault="00F77398" w:rsidP="00F77398">
      <w:pPr>
        <w:pStyle w:val="Default"/>
        <w:ind w:right="720"/>
        <w:jc w:val="both"/>
        <w:rPr>
          <w:rFonts w:ascii="Times New Roman" w:hAnsi="Times New Roman" w:cs="Times New Roman"/>
          <w:sz w:val="20"/>
          <w:szCs w:val="20"/>
        </w:rPr>
      </w:pPr>
    </w:p>
    <w:p w14:paraId="0A4921CD" w14:textId="77777777" w:rsidR="00F77398" w:rsidRPr="008C7811" w:rsidRDefault="00F77398" w:rsidP="00F77398">
      <w:pPr>
        <w:pStyle w:val="Default"/>
        <w:ind w:right="720"/>
        <w:jc w:val="both"/>
        <w:rPr>
          <w:rFonts w:ascii="Times New Roman" w:hAnsi="Times New Roman" w:cs="Times New Roman"/>
          <w:iCs/>
          <w:sz w:val="20"/>
          <w:szCs w:val="20"/>
        </w:rPr>
      </w:pPr>
      <w:r w:rsidRPr="008C7811">
        <w:rPr>
          <w:rFonts w:ascii="Times New Roman" w:hAnsi="Times New Roman" w:cs="Times New Roman"/>
          <w:sz w:val="20"/>
          <w:szCs w:val="20"/>
        </w:rPr>
        <w:t>RSA’s auditors obtained an understanding of the processes and controls we have in place over census data as part of the risk assessment they used in their audit.</w:t>
      </w:r>
      <w:r>
        <w:rPr>
          <w:rFonts w:ascii="Times New Roman" w:hAnsi="Times New Roman" w:cs="Times New Roman"/>
          <w:sz w:val="20"/>
          <w:szCs w:val="20"/>
        </w:rPr>
        <w:t xml:space="preserve"> </w:t>
      </w:r>
      <w:r w:rsidRPr="008C7811">
        <w:rPr>
          <w:rFonts w:ascii="Times New Roman" w:hAnsi="Times New Roman" w:cs="Times New Roman"/>
          <w:sz w:val="20"/>
          <w:szCs w:val="20"/>
        </w:rPr>
        <w:t xml:space="preserve">In accordance with </w:t>
      </w:r>
      <w:r>
        <w:rPr>
          <w:rFonts w:ascii="Times New Roman" w:hAnsi="Times New Roman" w:cs="Times New Roman"/>
          <w:bCs/>
          <w:iCs/>
          <w:sz w:val="20"/>
          <w:szCs w:val="20"/>
        </w:rPr>
        <w:t>the Guide,</w:t>
      </w:r>
      <w:r w:rsidRPr="008C7811">
        <w:rPr>
          <w:rFonts w:ascii="Times New Roman" w:hAnsi="Times New Roman" w:cs="Times New Roman"/>
          <w:iCs/>
          <w:sz w:val="20"/>
          <w:szCs w:val="20"/>
        </w:rPr>
        <w:t xml:space="preserve"> our auditors selected a representative group of contributing employers for testing underlying payroll records of employees who are potentially eligible for participation in the </w:t>
      </w:r>
      <w:r>
        <w:rPr>
          <w:rFonts w:ascii="Times New Roman" w:hAnsi="Times New Roman" w:cs="Times New Roman"/>
          <w:iCs/>
          <w:sz w:val="20"/>
          <w:szCs w:val="20"/>
        </w:rPr>
        <w:t>PEEHIP</w:t>
      </w:r>
      <w:r w:rsidRPr="008C7811">
        <w:rPr>
          <w:rFonts w:ascii="Times New Roman" w:hAnsi="Times New Roman" w:cs="Times New Roman"/>
          <w:iCs/>
          <w:sz w:val="20"/>
          <w:szCs w:val="20"/>
        </w:rPr>
        <w:t xml:space="preserve"> plan.</w:t>
      </w:r>
      <w:r>
        <w:rPr>
          <w:rFonts w:ascii="Times New Roman" w:hAnsi="Times New Roman" w:cs="Times New Roman"/>
          <w:iCs/>
          <w:sz w:val="20"/>
          <w:szCs w:val="20"/>
        </w:rPr>
        <w:t xml:space="preserve"> </w:t>
      </w:r>
      <w:r w:rsidRPr="008C7811">
        <w:rPr>
          <w:rFonts w:ascii="Times New Roman" w:hAnsi="Times New Roman" w:cs="Times New Roman"/>
          <w:iCs/>
          <w:sz w:val="20"/>
          <w:szCs w:val="20"/>
        </w:rPr>
        <w:t>Contributing employers will be subject to testing each year on a rotating basis following the guidance outlined below:</w:t>
      </w:r>
    </w:p>
    <w:p w14:paraId="32A2638E" w14:textId="77777777" w:rsidR="00F77398" w:rsidRPr="008C7811" w:rsidRDefault="00F77398" w:rsidP="00F77398">
      <w:pPr>
        <w:pStyle w:val="Default"/>
        <w:ind w:right="720"/>
        <w:jc w:val="both"/>
        <w:rPr>
          <w:rFonts w:ascii="Times New Roman" w:hAnsi="Times New Roman" w:cs="Times New Roman"/>
          <w:iCs/>
          <w:sz w:val="20"/>
          <w:szCs w:val="20"/>
        </w:rPr>
      </w:pPr>
    </w:p>
    <w:p w14:paraId="1AD20D43" w14:textId="77777777" w:rsidR="00F77398" w:rsidRPr="008C7811" w:rsidRDefault="00F77398" w:rsidP="00F77398">
      <w:pPr>
        <w:pStyle w:val="Default"/>
        <w:numPr>
          <w:ilvl w:val="0"/>
          <w:numId w:val="1"/>
        </w:numPr>
        <w:ind w:right="720"/>
        <w:jc w:val="both"/>
        <w:rPr>
          <w:rFonts w:ascii="Times New Roman" w:hAnsi="Times New Roman" w:cs="Times New Roman"/>
          <w:iCs/>
          <w:sz w:val="20"/>
          <w:szCs w:val="20"/>
        </w:rPr>
      </w:pPr>
      <w:r w:rsidRPr="008C7811">
        <w:rPr>
          <w:rFonts w:ascii="Times New Roman" w:hAnsi="Times New Roman" w:cs="Times New Roman"/>
          <w:iCs/>
          <w:sz w:val="20"/>
          <w:szCs w:val="20"/>
        </w:rPr>
        <w:t xml:space="preserve">Employers constituting more than 20% of total </w:t>
      </w:r>
      <w:r>
        <w:rPr>
          <w:rFonts w:ascii="Times New Roman" w:hAnsi="Times New Roman" w:cs="Times New Roman"/>
          <w:iCs/>
          <w:sz w:val="20"/>
          <w:szCs w:val="20"/>
        </w:rPr>
        <w:t xml:space="preserve">plan members </w:t>
      </w:r>
      <w:r w:rsidRPr="008C7811">
        <w:rPr>
          <w:rFonts w:ascii="Times New Roman" w:hAnsi="Times New Roman" w:cs="Times New Roman"/>
          <w:iCs/>
          <w:sz w:val="20"/>
          <w:szCs w:val="20"/>
        </w:rPr>
        <w:t>will be tested annually.</w:t>
      </w:r>
    </w:p>
    <w:p w14:paraId="0753928B" w14:textId="77777777" w:rsidR="00F77398" w:rsidRPr="008C7811" w:rsidRDefault="00F77398" w:rsidP="00F77398">
      <w:pPr>
        <w:pStyle w:val="Default"/>
        <w:numPr>
          <w:ilvl w:val="0"/>
          <w:numId w:val="1"/>
        </w:numPr>
        <w:ind w:right="720"/>
        <w:jc w:val="both"/>
        <w:rPr>
          <w:rFonts w:ascii="Times New Roman" w:hAnsi="Times New Roman" w:cs="Times New Roman"/>
          <w:iCs/>
          <w:sz w:val="20"/>
          <w:szCs w:val="20"/>
        </w:rPr>
      </w:pPr>
      <w:r w:rsidRPr="008C7811">
        <w:rPr>
          <w:rFonts w:ascii="Times New Roman" w:hAnsi="Times New Roman" w:cs="Times New Roman"/>
          <w:iCs/>
          <w:sz w:val="20"/>
          <w:szCs w:val="20"/>
        </w:rPr>
        <w:t xml:space="preserve">Employers constituting at least 5% of </w:t>
      </w:r>
      <w:r>
        <w:rPr>
          <w:rFonts w:ascii="Times New Roman" w:hAnsi="Times New Roman" w:cs="Times New Roman"/>
          <w:iCs/>
          <w:sz w:val="20"/>
          <w:szCs w:val="20"/>
        </w:rPr>
        <w:t>total plan members will be tested on a five-</w:t>
      </w:r>
      <w:r w:rsidRPr="008C7811">
        <w:rPr>
          <w:rFonts w:ascii="Times New Roman" w:hAnsi="Times New Roman" w:cs="Times New Roman"/>
          <w:iCs/>
          <w:sz w:val="20"/>
          <w:szCs w:val="20"/>
        </w:rPr>
        <w:t>year cycle.</w:t>
      </w:r>
    </w:p>
    <w:p w14:paraId="2C2991C0" w14:textId="77777777" w:rsidR="00F77398" w:rsidRDefault="00F77398" w:rsidP="00F77398">
      <w:pPr>
        <w:pStyle w:val="Default"/>
        <w:numPr>
          <w:ilvl w:val="0"/>
          <w:numId w:val="1"/>
        </w:numPr>
        <w:ind w:right="720"/>
        <w:jc w:val="both"/>
        <w:rPr>
          <w:rFonts w:ascii="Times New Roman" w:hAnsi="Times New Roman" w:cs="Times New Roman"/>
          <w:iCs/>
          <w:sz w:val="20"/>
          <w:szCs w:val="20"/>
        </w:rPr>
      </w:pPr>
      <w:r w:rsidRPr="008C7811">
        <w:rPr>
          <w:rFonts w:ascii="Times New Roman" w:hAnsi="Times New Roman" w:cs="Times New Roman"/>
          <w:iCs/>
          <w:sz w:val="20"/>
          <w:szCs w:val="20"/>
        </w:rPr>
        <w:t xml:space="preserve">Employers </w:t>
      </w:r>
      <w:r>
        <w:rPr>
          <w:rFonts w:ascii="Times New Roman" w:hAnsi="Times New Roman" w:cs="Times New Roman"/>
          <w:iCs/>
          <w:sz w:val="20"/>
          <w:szCs w:val="20"/>
        </w:rPr>
        <w:t>who collectively constitute</w:t>
      </w:r>
      <w:r w:rsidRPr="008C7811">
        <w:rPr>
          <w:rFonts w:ascii="Times New Roman" w:hAnsi="Times New Roman" w:cs="Times New Roman"/>
          <w:iCs/>
          <w:sz w:val="20"/>
          <w:szCs w:val="20"/>
        </w:rPr>
        <w:t xml:space="preserve"> </w:t>
      </w:r>
      <w:r>
        <w:rPr>
          <w:rFonts w:ascii="Times New Roman" w:hAnsi="Times New Roman" w:cs="Times New Roman"/>
          <w:iCs/>
          <w:sz w:val="20"/>
          <w:szCs w:val="20"/>
        </w:rPr>
        <w:t>less than 2% of total plan members may not be tested</w:t>
      </w:r>
      <w:r w:rsidRPr="008C7811">
        <w:rPr>
          <w:rFonts w:ascii="Times New Roman" w:hAnsi="Times New Roman" w:cs="Times New Roman"/>
          <w:iCs/>
          <w:sz w:val="20"/>
          <w:szCs w:val="20"/>
        </w:rPr>
        <w:t>.</w:t>
      </w:r>
    </w:p>
    <w:p w14:paraId="51C92F84" w14:textId="77777777" w:rsidR="00F77398" w:rsidRPr="008C7811" w:rsidRDefault="00F77398" w:rsidP="00F77398">
      <w:pPr>
        <w:pStyle w:val="Default"/>
        <w:numPr>
          <w:ilvl w:val="0"/>
          <w:numId w:val="1"/>
        </w:numPr>
        <w:ind w:right="720"/>
        <w:jc w:val="both"/>
        <w:rPr>
          <w:rFonts w:ascii="Times New Roman" w:hAnsi="Times New Roman" w:cs="Times New Roman"/>
          <w:iCs/>
          <w:sz w:val="20"/>
          <w:szCs w:val="20"/>
        </w:rPr>
      </w:pPr>
      <w:r>
        <w:rPr>
          <w:rFonts w:ascii="Times New Roman" w:hAnsi="Times New Roman" w:cs="Times New Roman"/>
          <w:iCs/>
          <w:sz w:val="20"/>
          <w:szCs w:val="20"/>
        </w:rPr>
        <w:t xml:space="preserve">Remaining employers that individually represent less than 5% of total plan members will be tested on 10-year cycle. </w:t>
      </w:r>
    </w:p>
    <w:p w14:paraId="2E30C0B5" w14:textId="77777777" w:rsidR="00F77398" w:rsidRPr="008C7811" w:rsidRDefault="00F77398" w:rsidP="00F77398">
      <w:pPr>
        <w:pStyle w:val="Default"/>
        <w:ind w:right="720"/>
        <w:jc w:val="both"/>
        <w:rPr>
          <w:rFonts w:ascii="Times New Roman" w:hAnsi="Times New Roman" w:cs="Times New Roman"/>
          <w:iCs/>
          <w:sz w:val="20"/>
          <w:szCs w:val="20"/>
        </w:rPr>
      </w:pPr>
    </w:p>
    <w:p w14:paraId="1F5DACDC" w14:textId="77777777" w:rsidR="00F77398" w:rsidRDefault="00F77398" w:rsidP="00F77398">
      <w:pPr>
        <w:pStyle w:val="Default"/>
        <w:ind w:right="720"/>
        <w:jc w:val="both"/>
        <w:rPr>
          <w:rFonts w:ascii="Times New Roman" w:hAnsi="Times New Roman" w:cs="Times New Roman"/>
          <w:iCs/>
          <w:sz w:val="20"/>
          <w:szCs w:val="20"/>
        </w:rPr>
      </w:pPr>
      <w:r w:rsidRPr="008C7811">
        <w:rPr>
          <w:rFonts w:ascii="Times New Roman" w:hAnsi="Times New Roman" w:cs="Times New Roman"/>
          <w:iCs/>
          <w:sz w:val="20"/>
          <w:szCs w:val="20"/>
        </w:rPr>
        <w:t xml:space="preserve">Employers, regardless of size, may be subject to other audit tests that fall outside the scope of the </w:t>
      </w:r>
      <w:r>
        <w:rPr>
          <w:rFonts w:ascii="Times New Roman" w:hAnsi="Times New Roman" w:cs="Times New Roman"/>
          <w:iCs/>
          <w:sz w:val="20"/>
          <w:szCs w:val="20"/>
        </w:rPr>
        <w:t>procedures outlined</w:t>
      </w:r>
      <w:r w:rsidRPr="008C7811">
        <w:rPr>
          <w:rFonts w:ascii="Times New Roman" w:hAnsi="Times New Roman" w:cs="Times New Roman"/>
          <w:iCs/>
          <w:sz w:val="20"/>
          <w:szCs w:val="20"/>
        </w:rPr>
        <w:t xml:space="preserve"> above.</w:t>
      </w:r>
      <w:r>
        <w:rPr>
          <w:rFonts w:ascii="Times New Roman" w:hAnsi="Times New Roman" w:cs="Times New Roman"/>
          <w:iCs/>
          <w:sz w:val="20"/>
          <w:szCs w:val="20"/>
        </w:rPr>
        <w:t xml:space="preserve"> </w:t>
      </w:r>
      <w:r w:rsidRPr="008C7811">
        <w:rPr>
          <w:rFonts w:ascii="Times New Roman" w:hAnsi="Times New Roman" w:cs="Times New Roman"/>
          <w:iCs/>
          <w:sz w:val="20"/>
          <w:szCs w:val="20"/>
        </w:rPr>
        <w:t xml:space="preserve">Additionally, our auditors tested census data maintained by </w:t>
      </w:r>
      <w:r>
        <w:rPr>
          <w:rFonts w:ascii="Times New Roman" w:hAnsi="Times New Roman" w:cs="Times New Roman"/>
          <w:iCs/>
          <w:sz w:val="20"/>
          <w:szCs w:val="20"/>
        </w:rPr>
        <w:t>PEEHIP</w:t>
      </w:r>
      <w:r w:rsidRPr="008C7811">
        <w:rPr>
          <w:rFonts w:ascii="Times New Roman" w:hAnsi="Times New Roman" w:cs="Times New Roman"/>
          <w:iCs/>
          <w:sz w:val="20"/>
          <w:szCs w:val="20"/>
        </w:rPr>
        <w:t xml:space="preserve"> for inactive employees and retirees.</w:t>
      </w:r>
    </w:p>
    <w:p w14:paraId="67BD23E0" w14:textId="77777777" w:rsidR="00F77398" w:rsidRDefault="00F77398" w:rsidP="00F77398">
      <w:pPr>
        <w:pStyle w:val="Default"/>
        <w:ind w:right="720"/>
        <w:jc w:val="both"/>
        <w:rPr>
          <w:rFonts w:ascii="Times New Roman" w:hAnsi="Times New Roman" w:cs="Times New Roman"/>
          <w:sz w:val="20"/>
          <w:szCs w:val="20"/>
        </w:rPr>
      </w:pPr>
    </w:p>
    <w:p w14:paraId="5E162BCE" w14:textId="314CFFA9" w:rsidR="00F77398" w:rsidRDefault="00F77398" w:rsidP="00F77398">
      <w:pPr>
        <w:tabs>
          <w:tab w:val="left" w:pos="360"/>
        </w:tabs>
        <w:ind w:right="720"/>
        <w:jc w:val="both"/>
        <w:rPr>
          <w:rFonts w:ascii="Times New Roman" w:hAnsi="Times New Roman"/>
          <w:sz w:val="20"/>
        </w:rPr>
      </w:pPr>
      <w:proofErr w:type="gramStart"/>
      <w:r>
        <w:rPr>
          <w:rFonts w:ascii="Times New Roman" w:hAnsi="Times New Roman"/>
          <w:sz w:val="20"/>
        </w:rPr>
        <w:t>In order to</w:t>
      </w:r>
      <w:proofErr w:type="gramEnd"/>
      <w:r>
        <w:rPr>
          <w:rFonts w:ascii="Times New Roman" w:hAnsi="Times New Roman"/>
          <w:sz w:val="20"/>
        </w:rPr>
        <w:t xml:space="preserve"> assist participating employers to record these transactions and to comply with GASB 75, the PEEH</w:t>
      </w:r>
      <w:r w:rsidR="007851B9">
        <w:rPr>
          <w:rFonts w:ascii="Times New Roman" w:hAnsi="Times New Roman"/>
          <w:sz w:val="20"/>
        </w:rPr>
        <w:t>I</w:t>
      </w:r>
      <w:r>
        <w:rPr>
          <w:rFonts w:ascii="Times New Roman" w:hAnsi="Times New Roman"/>
          <w:sz w:val="20"/>
        </w:rPr>
        <w:t xml:space="preserve">P has provided employer specific data related to the proportionate share of the OPEB liability including journal entries within your Employer Self Service Portal under the Employer Information tab. </w:t>
      </w:r>
    </w:p>
    <w:p w14:paraId="139B591A" w14:textId="77777777" w:rsidR="00F77398" w:rsidRDefault="00F77398" w:rsidP="00F77398">
      <w:pPr>
        <w:ind w:right="72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All other information provided by RSA related to GASB 75 is located on our website, </w:t>
      </w:r>
      <w:hyperlink r:id="rId10" w:history="1">
        <w:r w:rsidRPr="00B250A6">
          <w:rPr>
            <w:rStyle w:val="Hyperlink"/>
            <w:rFonts w:ascii="Times New Roman" w:eastAsiaTheme="minorHAnsi" w:hAnsi="Times New Roman"/>
            <w:sz w:val="20"/>
            <w:szCs w:val="20"/>
          </w:rPr>
          <w:t>www.rsa-al.gov</w:t>
        </w:r>
      </w:hyperlink>
      <w:r>
        <w:rPr>
          <w:rFonts w:ascii="Times New Roman" w:eastAsiaTheme="minorHAnsi" w:hAnsi="Times New Roman"/>
          <w:color w:val="000000"/>
          <w:sz w:val="20"/>
          <w:szCs w:val="20"/>
        </w:rPr>
        <w:t xml:space="preserve">. </w:t>
      </w:r>
    </w:p>
    <w:p w14:paraId="49B5F710" w14:textId="77777777" w:rsidR="00F77398" w:rsidRDefault="00F77398" w:rsidP="00F77398">
      <w:pPr>
        <w:ind w:right="72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We hope that this information helps you to record your OPEB liability. Please provide </w:t>
      </w:r>
      <w:proofErr w:type="gramStart"/>
      <w:r>
        <w:rPr>
          <w:rFonts w:ascii="Times New Roman" w:eastAsiaTheme="minorHAnsi" w:hAnsi="Times New Roman"/>
          <w:color w:val="000000"/>
          <w:sz w:val="20"/>
          <w:szCs w:val="20"/>
        </w:rPr>
        <w:t>all of</w:t>
      </w:r>
      <w:proofErr w:type="gramEnd"/>
      <w:r>
        <w:rPr>
          <w:rFonts w:ascii="Times New Roman" w:eastAsiaTheme="minorHAnsi" w:hAnsi="Times New Roman"/>
          <w:color w:val="000000"/>
          <w:sz w:val="20"/>
          <w:szCs w:val="20"/>
        </w:rPr>
        <w:t xml:space="preserve"> this information to your auditors. </w:t>
      </w:r>
    </w:p>
    <w:p w14:paraId="64D3F8A0" w14:textId="77777777" w:rsidR="00F77398" w:rsidRDefault="00F77398" w:rsidP="00F77398">
      <w:pPr>
        <w:ind w:right="72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Sincerely, </w:t>
      </w:r>
    </w:p>
    <w:p w14:paraId="32F60DD5" w14:textId="77777777" w:rsidR="00F77398" w:rsidRDefault="00F77398" w:rsidP="00F77398">
      <w:pPr>
        <w:ind w:right="720"/>
        <w:jc w:val="both"/>
        <w:rPr>
          <w:rFonts w:ascii="Times New Roman" w:eastAsiaTheme="minorHAnsi" w:hAnsi="Times New Roman"/>
          <w:color w:val="000000"/>
          <w:sz w:val="20"/>
          <w:szCs w:val="20"/>
        </w:rPr>
      </w:pPr>
      <w:r>
        <w:rPr>
          <w:noProof/>
        </w:rPr>
        <w:drawing>
          <wp:inline distT="0" distB="0" distL="0" distR="0" wp14:anchorId="03669724" wp14:editId="11C0EE63">
            <wp:extent cx="21431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43125" cy="314325"/>
                    </a:xfrm>
                    <a:prstGeom prst="rect">
                      <a:avLst/>
                    </a:prstGeom>
                  </pic:spPr>
                </pic:pic>
              </a:graphicData>
            </a:graphic>
          </wp:inline>
        </w:drawing>
      </w:r>
    </w:p>
    <w:p w14:paraId="247D79F3" w14:textId="77777777" w:rsidR="00F77398" w:rsidRDefault="00F77398" w:rsidP="00F77398">
      <w:pPr>
        <w:ind w:right="72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Diane E. Scott</w:t>
      </w:r>
    </w:p>
    <w:p w14:paraId="7CBC2362" w14:textId="77777777" w:rsidR="00F77398" w:rsidRDefault="00F77398" w:rsidP="00F77398">
      <w:pPr>
        <w:ind w:right="72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Chief Financial Officer</w:t>
      </w:r>
    </w:p>
    <w:p w14:paraId="58A66B13" w14:textId="77777777" w:rsidR="00F77398" w:rsidRDefault="00F77398" w:rsidP="00F77398">
      <w:pPr>
        <w:ind w:right="720"/>
        <w:jc w:val="both"/>
        <w:rPr>
          <w:rFonts w:ascii="Times New Roman" w:hAnsi="Times New Roman" w:cs="Times New Roman"/>
          <w:sz w:val="20"/>
        </w:rPr>
      </w:pPr>
      <w:r>
        <w:rPr>
          <w:rFonts w:ascii="Times New Roman" w:eastAsiaTheme="minorHAnsi" w:hAnsi="Times New Roman"/>
          <w:color w:val="000000"/>
          <w:sz w:val="20"/>
          <w:szCs w:val="20"/>
        </w:rPr>
        <w:t>Retirement Systems of Alabama</w:t>
      </w:r>
    </w:p>
    <w:sectPr w:rsidR="00F77398" w:rsidSect="0097015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33C9" w14:textId="77777777" w:rsidR="00A04D81" w:rsidRDefault="00A04D81" w:rsidP="00707B9C">
      <w:pPr>
        <w:spacing w:after="0" w:line="240" w:lineRule="auto"/>
      </w:pPr>
      <w:r>
        <w:separator/>
      </w:r>
    </w:p>
  </w:endnote>
  <w:endnote w:type="continuationSeparator" w:id="0">
    <w:p w14:paraId="6AC2D6F1" w14:textId="77777777" w:rsidR="00A04D81" w:rsidRDefault="00A04D81" w:rsidP="0070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22A2" w14:textId="77777777" w:rsidR="00A91203" w:rsidRDefault="00A91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9474" w14:textId="77777777" w:rsidR="00A91203" w:rsidRDefault="00A91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61FE" w14:textId="77777777" w:rsidR="00394DDF" w:rsidRPr="002F18BF" w:rsidRDefault="0026318E" w:rsidP="0026318E">
    <w:pPr>
      <w:pStyle w:val="Footer"/>
      <w:tabs>
        <w:tab w:val="left" w:pos="3420"/>
      </w:tabs>
      <w:ind w:left="-1440" w:right="-1440"/>
      <w:rPr>
        <w:rFonts w:ascii="Calibri" w:hAnsi="Calibri" w:cs="Calibri"/>
        <w:b/>
      </w:rPr>
    </w:pPr>
    <w:r w:rsidRPr="00D37388">
      <w:rPr>
        <w:rFonts w:ascii="Calibri" w:hAnsi="Calibri" w:cs="Calibri"/>
        <w:b/>
        <w:noProof/>
      </w:rPr>
      <mc:AlternateContent>
        <mc:Choice Requires="wps">
          <w:drawing>
            <wp:anchor distT="0" distB="0" distL="114300" distR="114300" simplePos="0" relativeHeight="251662336" behindDoc="0" locked="0" layoutInCell="1" allowOverlap="1" wp14:anchorId="680BE6A2" wp14:editId="2B9BB2E3">
              <wp:simplePos x="0" y="0"/>
              <wp:positionH relativeFrom="column">
                <wp:posOffset>-409575</wp:posOffset>
              </wp:positionH>
              <wp:positionV relativeFrom="paragraph">
                <wp:posOffset>123190</wp:posOffset>
              </wp:positionV>
              <wp:extent cx="66675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6667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2919F" id="Straight Connector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9.7pt" to="492.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" strokecolor="black [3213]" strokeweight="1pt"/>
          </w:pict>
        </mc:Fallback>
      </mc:AlternateContent>
    </w:r>
    <w:r>
      <w:rPr>
        <w:rFonts w:ascii="Calibri" w:hAnsi="Calibri" w:cs="Calibri"/>
        <w:b/>
      </w:rPr>
      <w:tab/>
    </w:r>
    <w:r>
      <w:rPr>
        <w:rFonts w:ascii="Calibri" w:hAnsi="Calibri" w:cs="Calibri"/>
        <w:b/>
      </w:rPr>
      <w:tab/>
    </w:r>
  </w:p>
  <w:p w14:paraId="682E1E32" w14:textId="77777777" w:rsidR="00683432" w:rsidRPr="00A00148" w:rsidRDefault="00394DDF" w:rsidP="0026318E">
    <w:pPr>
      <w:pStyle w:val="Footer"/>
      <w:ind w:left="-1440" w:right="-720"/>
      <w:jc w:val="center"/>
      <w:rPr>
        <w:rFonts w:ascii="Times New Roman" w:hAnsi="Times New Roman"/>
        <w:sz w:val="16"/>
        <w:szCs w:val="16"/>
      </w:rPr>
    </w:pPr>
    <w:r w:rsidRPr="00A00148">
      <w:rPr>
        <w:rFonts w:ascii="Times New Roman" w:hAnsi="Times New Roman"/>
        <w:sz w:val="16"/>
        <w:szCs w:val="16"/>
      </w:rPr>
      <w:t xml:space="preserve"> </w:t>
    </w:r>
    <w:r w:rsidR="00683432" w:rsidRPr="00A00148">
      <w:rPr>
        <w:rFonts w:ascii="Times New Roman" w:hAnsi="Times New Roman"/>
        <w:sz w:val="16"/>
        <w:szCs w:val="16"/>
      </w:rPr>
      <w:t xml:space="preserve">(Mailing Address) P.O. Box </w:t>
    </w:r>
    <w:proofErr w:type="gramStart"/>
    <w:r w:rsidR="00683432" w:rsidRPr="00A00148">
      <w:rPr>
        <w:rFonts w:ascii="Times New Roman" w:hAnsi="Times New Roman"/>
        <w:sz w:val="16"/>
        <w:szCs w:val="16"/>
      </w:rPr>
      <w:t>302150  ♦</w:t>
    </w:r>
    <w:proofErr w:type="gramEnd"/>
    <w:r w:rsidR="00683432" w:rsidRPr="00A00148">
      <w:rPr>
        <w:rFonts w:ascii="Times New Roman" w:hAnsi="Times New Roman"/>
        <w:sz w:val="16"/>
        <w:szCs w:val="16"/>
      </w:rPr>
      <w:t xml:space="preserve">  Montgomery, AL 36130-2150</w:t>
    </w:r>
  </w:p>
  <w:p w14:paraId="4C494499" w14:textId="77777777" w:rsidR="00683432" w:rsidRPr="00A00148" w:rsidRDefault="00683432" w:rsidP="0026318E">
    <w:pPr>
      <w:pStyle w:val="Footer"/>
      <w:ind w:left="-1440" w:right="-720"/>
      <w:jc w:val="center"/>
      <w:rPr>
        <w:rFonts w:ascii="Times New Roman" w:hAnsi="Times New Roman"/>
        <w:sz w:val="16"/>
        <w:szCs w:val="16"/>
      </w:rPr>
    </w:pPr>
    <w:r w:rsidRPr="00A00148">
      <w:rPr>
        <w:rFonts w:ascii="Times New Roman" w:hAnsi="Times New Roman"/>
        <w:sz w:val="16"/>
        <w:szCs w:val="16"/>
      </w:rPr>
      <w:t xml:space="preserve">(Office Location) 201 South Union </w:t>
    </w:r>
    <w:proofErr w:type="gramStart"/>
    <w:r w:rsidRPr="00A00148">
      <w:rPr>
        <w:rFonts w:ascii="Times New Roman" w:hAnsi="Times New Roman"/>
        <w:sz w:val="16"/>
        <w:szCs w:val="16"/>
      </w:rPr>
      <w:t>Street  ♦</w:t>
    </w:r>
    <w:proofErr w:type="gramEnd"/>
    <w:r w:rsidRPr="00A00148">
      <w:rPr>
        <w:rFonts w:ascii="Times New Roman" w:hAnsi="Times New Roman"/>
        <w:sz w:val="16"/>
        <w:szCs w:val="16"/>
      </w:rPr>
      <w:t xml:space="preserve">  Montgomery, AL</w:t>
    </w:r>
  </w:p>
  <w:p w14:paraId="31D972A8" w14:textId="3205C27D" w:rsidR="00683432" w:rsidRPr="00A00148" w:rsidRDefault="00683432" w:rsidP="00807A1C">
    <w:pPr>
      <w:pStyle w:val="Footer"/>
      <w:tabs>
        <w:tab w:val="left" w:pos="7410"/>
      </w:tabs>
      <w:ind w:left="-1440" w:right="-720"/>
      <w:jc w:val="center"/>
      <w:rPr>
        <w:rFonts w:ascii="Times New Roman" w:hAnsi="Times New Roman"/>
        <w:sz w:val="16"/>
        <w:szCs w:val="16"/>
      </w:rPr>
    </w:pPr>
    <w:r w:rsidRPr="00A00148">
      <w:rPr>
        <w:rFonts w:ascii="Times New Roman" w:hAnsi="Times New Roman"/>
        <w:sz w:val="16"/>
        <w:szCs w:val="16"/>
      </w:rPr>
      <w:t>334</w:t>
    </w:r>
    <w:r>
      <w:rPr>
        <w:rFonts w:ascii="Times New Roman" w:hAnsi="Times New Roman"/>
        <w:sz w:val="16"/>
        <w:szCs w:val="16"/>
      </w:rPr>
      <w:t>.</w:t>
    </w:r>
    <w:r w:rsidRPr="00A00148">
      <w:rPr>
        <w:rFonts w:ascii="Times New Roman" w:hAnsi="Times New Roman"/>
        <w:sz w:val="16"/>
        <w:szCs w:val="16"/>
      </w:rPr>
      <w:t>517</w:t>
    </w:r>
    <w:r>
      <w:rPr>
        <w:rFonts w:ascii="Times New Roman" w:hAnsi="Times New Roman"/>
        <w:sz w:val="16"/>
        <w:szCs w:val="16"/>
      </w:rPr>
      <w:t>.</w:t>
    </w:r>
    <w:r w:rsidRPr="00A00148">
      <w:rPr>
        <w:rFonts w:ascii="Times New Roman" w:hAnsi="Times New Roman"/>
        <w:sz w:val="16"/>
        <w:szCs w:val="16"/>
      </w:rPr>
      <w:t>7000 or 877</w:t>
    </w:r>
    <w:r>
      <w:rPr>
        <w:rFonts w:ascii="Times New Roman" w:hAnsi="Times New Roman"/>
        <w:sz w:val="16"/>
        <w:szCs w:val="16"/>
      </w:rPr>
      <w:t>.</w:t>
    </w:r>
    <w:r w:rsidRPr="00A00148">
      <w:rPr>
        <w:rFonts w:ascii="Times New Roman" w:hAnsi="Times New Roman"/>
        <w:sz w:val="16"/>
        <w:szCs w:val="16"/>
      </w:rPr>
      <w:t>517</w:t>
    </w:r>
    <w:r>
      <w:rPr>
        <w:rFonts w:ascii="Times New Roman" w:hAnsi="Times New Roman"/>
        <w:sz w:val="16"/>
        <w:szCs w:val="16"/>
      </w:rPr>
      <w:t>.</w:t>
    </w:r>
    <w:r w:rsidRPr="00A00148">
      <w:rPr>
        <w:rFonts w:ascii="Times New Roman" w:hAnsi="Times New Roman"/>
        <w:sz w:val="16"/>
        <w:szCs w:val="16"/>
      </w:rPr>
      <w:t>0020</w:t>
    </w:r>
  </w:p>
  <w:p w14:paraId="7E105F09" w14:textId="77777777" w:rsidR="00683432" w:rsidRPr="004E55E0" w:rsidRDefault="00683432" w:rsidP="0026318E">
    <w:pPr>
      <w:pStyle w:val="Footer"/>
      <w:ind w:left="-1440" w:right="-720"/>
      <w:jc w:val="center"/>
      <w:rPr>
        <w:rFonts w:ascii="Times New Roman" w:hAnsi="Times New Roman"/>
        <w:sz w:val="16"/>
        <w:szCs w:val="16"/>
      </w:rPr>
    </w:pPr>
    <w:r w:rsidRPr="005A6BB0">
      <w:rPr>
        <w:rFonts w:ascii="Times New Roman" w:hAnsi="Times New Roman"/>
        <w:sz w:val="16"/>
        <w:szCs w:val="16"/>
      </w:rPr>
      <w:t>www.rsa-al.gov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9945" w14:textId="77777777" w:rsidR="00A04D81" w:rsidRDefault="00A04D81" w:rsidP="00707B9C">
      <w:pPr>
        <w:spacing w:after="0" w:line="240" w:lineRule="auto"/>
      </w:pPr>
      <w:r>
        <w:separator/>
      </w:r>
    </w:p>
  </w:footnote>
  <w:footnote w:type="continuationSeparator" w:id="0">
    <w:p w14:paraId="01AA1330" w14:textId="77777777" w:rsidR="00A04D81" w:rsidRDefault="00A04D81" w:rsidP="00707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99F5" w14:textId="77777777" w:rsidR="00A91203" w:rsidRDefault="00A91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C805" w14:textId="77777777" w:rsidR="00995F8F" w:rsidRDefault="00995F8F">
    <w:pPr>
      <w:pStyle w:val="Header"/>
    </w:pPr>
  </w:p>
  <w:p w14:paraId="14A02BC8" w14:textId="77777777" w:rsidR="00995F8F" w:rsidRDefault="00995F8F" w:rsidP="00210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03" w:type="dxa"/>
      <w:tblInd w:w="-1295" w:type="dxa"/>
      <w:tblLook w:val="0000" w:firstRow="0" w:lastRow="0" w:firstColumn="0" w:lastColumn="0" w:noHBand="0" w:noVBand="0"/>
    </w:tblPr>
    <w:tblGrid>
      <w:gridCol w:w="12203"/>
    </w:tblGrid>
    <w:tr w:rsidR="00683432" w:rsidRPr="00FE19D9" w14:paraId="7FABB21C" w14:textId="77777777" w:rsidTr="005877BF">
      <w:trPr>
        <w:trHeight w:val="645"/>
      </w:trPr>
      <w:tc>
        <w:tcPr>
          <w:tcW w:w="12203" w:type="dxa"/>
          <w:vMerge w:val="restart"/>
          <w:tcBorders>
            <w:top w:val="nil"/>
            <w:left w:val="nil"/>
            <w:bottom w:val="nil"/>
            <w:right w:val="nil"/>
          </w:tcBorders>
          <w:shd w:val="clear" w:color="auto" w:fill="auto"/>
          <w:noWrap/>
          <w:vAlign w:val="bottom"/>
        </w:tcPr>
        <w:p w14:paraId="7D6EC48C" w14:textId="12ACBFEE" w:rsidR="00683432" w:rsidRDefault="00683432" w:rsidP="00A12C17">
          <w:pPr>
            <w:ind w:left="4877"/>
          </w:pPr>
        </w:p>
        <w:p w14:paraId="1D772AA5" w14:textId="77777777" w:rsidR="00683432" w:rsidRPr="00FB1D9E" w:rsidRDefault="00683432" w:rsidP="005877BF">
          <w:pPr>
            <w:ind w:left="-145" w:right="225"/>
            <w:jc w:val="center"/>
            <w:rPr>
              <w:sz w:val="16"/>
              <w:szCs w:val="16"/>
            </w:rPr>
          </w:pPr>
          <w:r w:rsidRPr="00FB1D9E">
            <w:rPr>
              <w:rFonts w:ascii="Times New Roman" w:hAnsi="Times New Roman"/>
              <w:b/>
              <w:smallCaps/>
              <w:sz w:val="36"/>
              <w:szCs w:val="44"/>
            </w:rPr>
            <w:t>Public Education Employees’ Health Insurance Plan</w:t>
          </w:r>
        </w:p>
      </w:tc>
    </w:tr>
    <w:tr w:rsidR="00683432" w:rsidRPr="00FE19D9" w14:paraId="4DDF2B19" w14:textId="77777777" w:rsidTr="005877BF">
      <w:trPr>
        <w:trHeight w:val="676"/>
      </w:trPr>
      <w:tc>
        <w:tcPr>
          <w:tcW w:w="12203" w:type="dxa"/>
          <w:vMerge/>
          <w:tcBorders>
            <w:top w:val="nil"/>
            <w:left w:val="nil"/>
            <w:bottom w:val="nil"/>
            <w:right w:val="nil"/>
          </w:tcBorders>
          <w:vAlign w:val="center"/>
        </w:tcPr>
        <w:p w14:paraId="78DCE8E2" w14:textId="77777777" w:rsidR="00683432" w:rsidRPr="00FE19D9" w:rsidRDefault="00683432" w:rsidP="005877BF">
          <w:pPr>
            <w:ind w:left="575" w:right="-495"/>
            <w:rPr>
              <w:rFonts w:ascii="Arial" w:hAnsi="Arial" w:cs="Arial"/>
              <w:sz w:val="36"/>
              <w:szCs w:val="36"/>
            </w:rPr>
          </w:pPr>
        </w:p>
      </w:tc>
    </w:tr>
  </w:tbl>
  <w:p w14:paraId="058547CF" w14:textId="21A6F18F" w:rsidR="00683432" w:rsidRDefault="00A91203">
    <w:pPr>
      <w:pStyle w:val="Header"/>
    </w:pPr>
    <w:r>
      <w:rPr>
        <w:noProof/>
      </w:rPr>
      <mc:AlternateContent>
        <mc:Choice Requires="wps">
          <w:drawing>
            <wp:anchor distT="0" distB="0" distL="114300" distR="114300" simplePos="0" relativeHeight="251653120" behindDoc="0" locked="0" layoutInCell="1" allowOverlap="1" wp14:anchorId="2CFDC377" wp14:editId="68F79590">
              <wp:simplePos x="0" y="0"/>
              <wp:positionH relativeFrom="column">
                <wp:posOffset>-532263</wp:posOffset>
              </wp:positionH>
              <wp:positionV relativeFrom="paragraph">
                <wp:posOffset>-979407</wp:posOffset>
              </wp:positionV>
              <wp:extent cx="1637732" cy="523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2"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34DA2" w14:textId="77777777" w:rsidR="00683432" w:rsidRPr="0045347F" w:rsidRDefault="00683432" w:rsidP="00683432">
                          <w:pPr>
                            <w:spacing w:after="0" w:line="240" w:lineRule="auto"/>
                            <w:jc w:val="center"/>
                            <w:rPr>
                              <w:rFonts w:ascii="Times New Roman" w:hAnsi="Times New Roman"/>
                              <w:b/>
                              <w:sz w:val="16"/>
                              <w:szCs w:val="16"/>
                            </w:rPr>
                          </w:pPr>
                          <w:r>
                            <w:rPr>
                              <w:rFonts w:ascii="Times New Roman" w:hAnsi="Times New Roman"/>
                              <w:b/>
                              <w:sz w:val="16"/>
                              <w:szCs w:val="16"/>
                            </w:rPr>
                            <w:t>PEEHIP Board of Control</w:t>
                          </w:r>
                        </w:p>
                        <w:p w14:paraId="158BF49F" w14:textId="30728528" w:rsidR="00683432" w:rsidRDefault="00B735C5" w:rsidP="00683432">
                          <w:pPr>
                            <w:spacing w:after="0" w:line="240" w:lineRule="auto"/>
                            <w:jc w:val="center"/>
                            <w:rPr>
                              <w:rFonts w:ascii="Times New Roman" w:hAnsi="Times New Roman"/>
                              <w:sz w:val="16"/>
                              <w:szCs w:val="16"/>
                            </w:rPr>
                          </w:pPr>
                          <w:r>
                            <w:rPr>
                              <w:rFonts w:ascii="Times New Roman" w:hAnsi="Times New Roman"/>
                              <w:sz w:val="16"/>
                              <w:szCs w:val="16"/>
                            </w:rPr>
                            <w:t>John R. Whaley</w:t>
                          </w:r>
                          <w:r w:rsidR="00683432">
                            <w:rPr>
                              <w:rFonts w:ascii="Times New Roman" w:hAnsi="Times New Roman"/>
                              <w:sz w:val="16"/>
                              <w:szCs w:val="16"/>
                            </w:rPr>
                            <w:t>, Chair</w:t>
                          </w:r>
                        </w:p>
                        <w:p w14:paraId="346B1E0F" w14:textId="47A0F1E5" w:rsidR="00A91203" w:rsidRPr="0045347F" w:rsidRDefault="00A91203" w:rsidP="00683432">
                          <w:pPr>
                            <w:spacing w:after="0" w:line="240" w:lineRule="auto"/>
                            <w:jc w:val="center"/>
                            <w:rPr>
                              <w:rFonts w:ascii="Times New Roman" w:hAnsi="Times New Roman"/>
                              <w:sz w:val="16"/>
                              <w:szCs w:val="16"/>
                            </w:rPr>
                          </w:pPr>
                          <w:r>
                            <w:rPr>
                              <w:rFonts w:ascii="Times New Roman" w:hAnsi="Times New Roman"/>
                              <w:sz w:val="16"/>
                              <w:szCs w:val="16"/>
                            </w:rPr>
                            <w:t>Susan Williams Brown, Vice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DC377" id="_x0000_t202" coordsize="21600,21600" o:spt="202" path="m,l,21600r21600,l21600,xe">
              <v:stroke joinstyle="miter"/>
              <v:path gradientshapeok="t" o:connecttype="rect"/>
            </v:shapetype>
            <v:shape id="Text Box 4" o:spid="_x0000_s1026" type="#_x0000_t202" style="position:absolute;margin-left:-41.9pt;margin-top:-77.1pt;width:128.95pt;height:4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" filled="f" stroked="f">
              <v:textbox>
                <w:txbxContent>
                  <w:p w14:paraId="14734DA2" w14:textId="77777777" w:rsidR="00683432" w:rsidRPr="0045347F" w:rsidRDefault="00683432" w:rsidP="00683432">
                    <w:pPr>
                      <w:spacing w:after="0" w:line="240" w:lineRule="auto"/>
                      <w:jc w:val="center"/>
                      <w:rPr>
                        <w:rFonts w:ascii="Times New Roman" w:hAnsi="Times New Roman"/>
                        <w:b/>
                        <w:sz w:val="16"/>
                        <w:szCs w:val="16"/>
                      </w:rPr>
                    </w:pPr>
                    <w:r>
                      <w:rPr>
                        <w:rFonts w:ascii="Times New Roman" w:hAnsi="Times New Roman"/>
                        <w:b/>
                        <w:sz w:val="16"/>
                        <w:szCs w:val="16"/>
                      </w:rPr>
                      <w:t>PEEHIP Board of Control</w:t>
                    </w:r>
                  </w:p>
                  <w:p w14:paraId="158BF49F" w14:textId="30728528" w:rsidR="00683432" w:rsidRDefault="00B735C5" w:rsidP="00683432">
                    <w:pPr>
                      <w:spacing w:after="0" w:line="240" w:lineRule="auto"/>
                      <w:jc w:val="center"/>
                      <w:rPr>
                        <w:rFonts w:ascii="Times New Roman" w:hAnsi="Times New Roman"/>
                        <w:sz w:val="16"/>
                        <w:szCs w:val="16"/>
                      </w:rPr>
                    </w:pPr>
                    <w:r>
                      <w:rPr>
                        <w:rFonts w:ascii="Times New Roman" w:hAnsi="Times New Roman"/>
                        <w:sz w:val="16"/>
                        <w:szCs w:val="16"/>
                      </w:rPr>
                      <w:t>John R. Whaley</w:t>
                    </w:r>
                    <w:r w:rsidR="00683432">
                      <w:rPr>
                        <w:rFonts w:ascii="Times New Roman" w:hAnsi="Times New Roman"/>
                        <w:sz w:val="16"/>
                        <w:szCs w:val="16"/>
                      </w:rPr>
                      <w:t>, Chair</w:t>
                    </w:r>
                  </w:p>
                  <w:p w14:paraId="346B1E0F" w14:textId="47A0F1E5" w:rsidR="00A91203" w:rsidRPr="0045347F" w:rsidRDefault="00A91203" w:rsidP="00683432">
                    <w:pPr>
                      <w:spacing w:after="0" w:line="240" w:lineRule="auto"/>
                      <w:jc w:val="center"/>
                      <w:rPr>
                        <w:rFonts w:ascii="Times New Roman" w:hAnsi="Times New Roman"/>
                        <w:sz w:val="16"/>
                        <w:szCs w:val="16"/>
                      </w:rPr>
                    </w:pPr>
                    <w:r>
                      <w:rPr>
                        <w:rFonts w:ascii="Times New Roman" w:hAnsi="Times New Roman"/>
                        <w:sz w:val="16"/>
                        <w:szCs w:val="16"/>
                      </w:rPr>
                      <w:t>Susan Williams Brown, Vice Chair</w:t>
                    </w:r>
                  </w:p>
                </w:txbxContent>
              </v:textbox>
            </v:shape>
          </w:pict>
        </mc:Fallback>
      </mc:AlternateContent>
    </w:r>
    <w:r w:rsidR="001424E5">
      <w:rPr>
        <w:noProof/>
      </w:rPr>
      <w:drawing>
        <wp:anchor distT="0" distB="0" distL="114300" distR="114300" simplePos="0" relativeHeight="251663360" behindDoc="0" locked="0" layoutInCell="1" allowOverlap="1" wp14:anchorId="28A9DD26" wp14:editId="023EB678">
          <wp:simplePos x="0" y="0"/>
          <wp:positionH relativeFrom="column">
            <wp:posOffset>1987740</wp:posOffset>
          </wp:positionH>
          <wp:positionV relativeFrom="paragraph">
            <wp:posOffset>-939800</wp:posOffset>
          </wp:positionV>
          <wp:extent cx="1852930" cy="452755"/>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HIPsmallblk.jpg"/>
                  <pic:cNvPicPr/>
                </pic:nvPicPr>
                <pic:blipFill>
                  <a:blip r:embed="rId1">
                    <a:extLst>
                      <a:ext uri="{28A0092B-C50C-407E-A947-70E740481C1C}">
                        <a14:useLocalDpi xmlns:a14="http://schemas.microsoft.com/office/drawing/2010/main" val="0"/>
                      </a:ext>
                    </a:extLst>
                  </a:blip>
                  <a:stretch>
                    <a:fillRect/>
                  </a:stretch>
                </pic:blipFill>
                <pic:spPr>
                  <a:xfrm>
                    <a:off x="0" y="0"/>
                    <a:ext cx="1852930" cy="452755"/>
                  </a:xfrm>
                  <a:prstGeom prst="rect">
                    <a:avLst/>
                  </a:prstGeom>
                </pic:spPr>
              </pic:pic>
            </a:graphicData>
          </a:graphic>
          <wp14:sizeRelH relativeFrom="page">
            <wp14:pctWidth>0</wp14:pctWidth>
          </wp14:sizeRelH>
          <wp14:sizeRelV relativeFrom="page">
            <wp14:pctHeight>0</wp14:pctHeight>
          </wp14:sizeRelV>
        </wp:anchor>
      </w:drawing>
    </w:r>
    <w:r w:rsidR="001424E5">
      <w:rPr>
        <w:noProof/>
      </w:rPr>
      <mc:AlternateContent>
        <mc:Choice Requires="wps">
          <w:drawing>
            <wp:anchor distT="0" distB="0" distL="114300" distR="114300" simplePos="0" relativeHeight="251661312" behindDoc="0" locked="0" layoutInCell="1" allowOverlap="1" wp14:anchorId="0F8817B3" wp14:editId="3B7482A3">
              <wp:simplePos x="0" y="0"/>
              <wp:positionH relativeFrom="column">
                <wp:posOffset>4412615</wp:posOffset>
              </wp:positionH>
              <wp:positionV relativeFrom="paragraph">
                <wp:posOffset>-973455</wp:posOffset>
              </wp:positionV>
              <wp:extent cx="21717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86BC" w14:textId="77777777" w:rsidR="00683432" w:rsidRDefault="00683432" w:rsidP="00683432">
                          <w:pPr>
                            <w:spacing w:after="0" w:line="240" w:lineRule="auto"/>
                            <w:jc w:val="center"/>
                            <w:rPr>
                              <w:rFonts w:ascii="Times New Roman" w:hAnsi="Times New Roman"/>
                              <w:sz w:val="16"/>
                              <w:szCs w:val="16"/>
                            </w:rPr>
                          </w:pPr>
                          <w:r w:rsidRPr="00A00148">
                            <w:rPr>
                              <w:rFonts w:ascii="Times New Roman" w:hAnsi="Times New Roman"/>
                              <w:sz w:val="16"/>
                              <w:szCs w:val="16"/>
                            </w:rPr>
                            <w:t>David G. Bronner, CEO</w:t>
                          </w:r>
                        </w:p>
                        <w:p w14:paraId="6D7F8CB9" w14:textId="77777777" w:rsidR="00683432" w:rsidRDefault="005D7956" w:rsidP="00683432">
                          <w:pPr>
                            <w:spacing w:after="0" w:line="240" w:lineRule="auto"/>
                            <w:jc w:val="center"/>
                            <w:rPr>
                              <w:rFonts w:ascii="Times New Roman" w:hAnsi="Times New Roman"/>
                              <w:sz w:val="16"/>
                              <w:szCs w:val="16"/>
                            </w:rPr>
                          </w:pPr>
                          <w:r>
                            <w:rPr>
                              <w:rFonts w:ascii="Times New Roman" w:hAnsi="Times New Roman"/>
                              <w:sz w:val="16"/>
                              <w:szCs w:val="16"/>
                            </w:rPr>
                            <w:t>Jo Moore, Deputy Director for Administration</w:t>
                          </w:r>
                        </w:p>
                        <w:p w14:paraId="51467869" w14:textId="33F291C7" w:rsidR="005D7956" w:rsidRPr="00995F8F" w:rsidRDefault="005D7956" w:rsidP="00683432">
                          <w:pPr>
                            <w:spacing w:after="0" w:line="240" w:lineRule="auto"/>
                            <w:jc w:val="center"/>
                            <w:rPr>
                              <w:sz w:val="16"/>
                              <w:szCs w:val="16"/>
                            </w:rPr>
                          </w:pPr>
                          <w:r>
                            <w:rPr>
                              <w:rFonts w:ascii="Times New Roman" w:hAnsi="Times New Roman"/>
                              <w:sz w:val="16"/>
                              <w:szCs w:val="16"/>
                            </w:rPr>
                            <w:t>Marc Green, Deputy Director for Investments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17B3" id="Text Box 3" o:spid="_x0000_s1027" type="#_x0000_t202" style="position:absolute;margin-left:347.45pt;margin-top:-76.65pt;width:17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" filled="f" stroked="f">
              <v:textbox>
                <w:txbxContent>
                  <w:p w14:paraId="0F2A86BC" w14:textId="77777777" w:rsidR="00683432" w:rsidRDefault="00683432" w:rsidP="00683432">
                    <w:pPr>
                      <w:spacing w:after="0" w:line="240" w:lineRule="auto"/>
                      <w:jc w:val="center"/>
                      <w:rPr>
                        <w:rFonts w:ascii="Times New Roman" w:hAnsi="Times New Roman"/>
                        <w:sz w:val="16"/>
                        <w:szCs w:val="16"/>
                      </w:rPr>
                    </w:pPr>
                    <w:r w:rsidRPr="00A00148">
                      <w:rPr>
                        <w:rFonts w:ascii="Times New Roman" w:hAnsi="Times New Roman"/>
                        <w:sz w:val="16"/>
                        <w:szCs w:val="16"/>
                      </w:rPr>
                      <w:t>David G. Bronner, CEO</w:t>
                    </w:r>
                  </w:p>
                  <w:p w14:paraId="6D7F8CB9" w14:textId="77777777" w:rsidR="00683432" w:rsidRDefault="005D7956" w:rsidP="00683432">
                    <w:pPr>
                      <w:spacing w:after="0" w:line="240" w:lineRule="auto"/>
                      <w:jc w:val="center"/>
                      <w:rPr>
                        <w:rFonts w:ascii="Times New Roman" w:hAnsi="Times New Roman"/>
                        <w:sz w:val="16"/>
                        <w:szCs w:val="16"/>
                      </w:rPr>
                    </w:pPr>
                    <w:r>
                      <w:rPr>
                        <w:rFonts w:ascii="Times New Roman" w:hAnsi="Times New Roman"/>
                        <w:sz w:val="16"/>
                        <w:szCs w:val="16"/>
                      </w:rPr>
                      <w:t>Jo Moore, Deputy Director for Administration</w:t>
                    </w:r>
                  </w:p>
                  <w:p w14:paraId="51467869" w14:textId="33F291C7" w:rsidR="005D7956" w:rsidRPr="00995F8F" w:rsidRDefault="005D7956" w:rsidP="00683432">
                    <w:pPr>
                      <w:spacing w:after="0" w:line="240" w:lineRule="auto"/>
                      <w:jc w:val="center"/>
                      <w:rPr>
                        <w:sz w:val="16"/>
                        <w:szCs w:val="16"/>
                      </w:rPr>
                    </w:pPr>
                    <w:r>
                      <w:rPr>
                        <w:rFonts w:ascii="Times New Roman" w:hAnsi="Times New Roman"/>
                        <w:sz w:val="16"/>
                        <w:szCs w:val="16"/>
                      </w:rPr>
                      <w:t>Marc Green, Deputy Director for Investments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3C22"/>
    <w:multiLevelType w:val="hybridMultilevel"/>
    <w:tmpl w:val="ECA2C860"/>
    <w:lvl w:ilvl="0" w:tplc="10FE46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83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7"/>
  <w:drawingGridVerticalSpacing w:val="187"/>
  <w:doNotUseMarginsForDrawingGridOrigin/>
  <w:drawingGridHorizontalOrigin w:val="1440"/>
  <w:drawingGridVerticalOrigin w:val="446"/>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DYFUobmRiZm5ko6SsGpxcWZ+XkgBca1AMcvOhwsAAAA"/>
  </w:docVars>
  <w:rsids>
    <w:rsidRoot w:val="00707B9C"/>
    <w:rsid w:val="000132CF"/>
    <w:rsid w:val="00016F36"/>
    <w:rsid w:val="00057C5E"/>
    <w:rsid w:val="00083F46"/>
    <w:rsid w:val="000E410A"/>
    <w:rsid w:val="000E452F"/>
    <w:rsid w:val="00126866"/>
    <w:rsid w:val="001424E5"/>
    <w:rsid w:val="001704D9"/>
    <w:rsid w:val="001914A2"/>
    <w:rsid w:val="0021045E"/>
    <w:rsid w:val="002241B2"/>
    <w:rsid w:val="0026318E"/>
    <w:rsid w:val="00343627"/>
    <w:rsid w:val="00353584"/>
    <w:rsid w:val="00394DDF"/>
    <w:rsid w:val="003D403C"/>
    <w:rsid w:val="004159D1"/>
    <w:rsid w:val="00427BAD"/>
    <w:rsid w:val="004C1404"/>
    <w:rsid w:val="004D6920"/>
    <w:rsid w:val="004E55E0"/>
    <w:rsid w:val="004F395E"/>
    <w:rsid w:val="00523D88"/>
    <w:rsid w:val="0053763F"/>
    <w:rsid w:val="00593DD8"/>
    <w:rsid w:val="005B4775"/>
    <w:rsid w:val="005D7956"/>
    <w:rsid w:val="006231B8"/>
    <w:rsid w:val="00683432"/>
    <w:rsid w:val="006A65F6"/>
    <w:rsid w:val="00707B9C"/>
    <w:rsid w:val="007534BA"/>
    <w:rsid w:val="00784878"/>
    <w:rsid w:val="007851B9"/>
    <w:rsid w:val="00795BCC"/>
    <w:rsid w:val="007C5763"/>
    <w:rsid w:val="007F2AB9"/>
    <w:rsid w:val="00807A1C"/>
    <w:rsid w:val="00910BF6"/>
    <w:rsid w:val="009134A8"/>
    <w:rsid w:val="00922713"/>
    <w:rsid w:val="00970155"/>
    <w:rsid w:val="00977EE4"/>
    <w:rsid w:val="00995F8F"/>
    <w:rsid w:val="009B1804"/>
    <w:rsid w:val="009E5E51"/>
    <w:rsid w:val="00A04D81"/>
    <w:rsid w:val="00A12C17"/>
    <w:rsid w:val="00A91203"/>
    <w:rsid w:val="00B263CC"/>
    <w:rsid w:val="00B556AE"/>
    <w:rsid w:val="00B7335B"/>
    <w:rsid w:val="00B735C5"/>
    <w:rsid w:val="00BB559E"/>
    <w:rsid w:val="00BF5E51"/>
    <w:rsid w:val="00C10533"/>
    <w:rsid w:val="00C6645E"/>
    <w:rsid w:val="00C71954"/>
    <w:rsid w:val="00C86383"/>
    <w:rsid w:val="00C97A95"/>
    <w:rsid w:val="00CE1B41"/>
    <w:rsid w:val="00CE7937"/>
    <w:rsid w:val="00CF59B4"/>
    <w:rsid w:val="00D37388"/>
    <w:rsid w:val="00D92667"/>
    <w:rsid w:val="00DA5516"/>
    <w:rsid w:val="00DA77D0"/>
    <w:rsid w:val="00DB6EA4"/>
    <w:rsid w:val="00DD6136"/>
    <w:rsid w:val="00E259FE"/>
    <w:rsid w:val="00E630DF"/>
    <w:rsid w:val="00E72ADF"/>
    <w:rsid w:val="00E81BED"/>
    <w:rsid w:val="00EF2E4B"/>
    <w:rsid w:val="00F62D45"/>
    <w:rsid w:val="00F77398"/>
    <w:rsid w:val="00F915CB"/>
    <w:rsid w:val="00F94292"/>
    <w:rsid w:val="00F97959"/>
    <w:rsid w:val="00FB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90EFB3"/>
  <w15:docId w15:val="{1071F839-3F44-4A86-8A1B-B9F433B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9C"/>
    <w:rPr>
      <w:rFonts w:ascii="Tahoma" w:hAnsi="Tahoma" w:cs="Tahoma"/>
      <w:sz w:val="16"/>
      <w:szCs w:val="16"/>
    </w:rPr>
  </w:style>
  <w:style w:type="paragraph" w:styleId="Header">
    <w:name w:val="header"/>
    <w:basedOn w:val="Normal"/>
    <w:link w:val="HeaderChar"/>
    <w:uiPriority w:val="99"/>
    <w:unhideWhenUsed/>
    <w:rsid w:val="00707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B9C"/>
  </w:style>
  <w:style w:type="paragraph" w:styleId="Footer">
    <w:name w:val="footer"/>
    <w:basedOn w:val="Normal"/>
    <w:link w:val="FooterChar"/>
    <w:unhideWhenUsed/>
    <w:rsid w:val="00707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B9C"/>
  </w:style>
  <w:style w:type="paragraph" w:styleId="ListParagraph">
    <w:name w:val="List Paragraph"/>
    <w:basedOn w:val="Normal"/>
    <w:uiPriority w:val="34"/>
    <w:qFormat/>
    <w:rsid w:val="00394DDF"/>
    <w:pPr>
      <w:spacing w:after="0" w:line="240" w:lineRule="auto"/>
      <w:ind w:left="720"/>
      <w:contextualSpacing/>
    </w:pPr>
    <w:rPr>
      <w:rFonts w:ascii="Times New Roman" w:eastAsia="Times New Roman" w:hAnsi="Times New Roman" w:cs="Times New Roman"/>
      <w:snapToGrid w:val="0"/>
      <w:sz w:val="24"/>
      <w:szCs w:val="24"/>
    </w:rPr>
  </w:style>
  <w:style w:type="character" w:styleId="Hyperlink">
    <w:name w:val="Hyperlink"/>
    <w:rsid w:val="00F77398"/>
    <w:rPr>
      <w:color w:val="0000FF"/>
      <w:u w:val="single"/>
    </w:rPr>
  </w:style>
  <w:style w:type="paragraph" w:customStyle="1" w:styleId="Default">
    <w:name w:val="Default"/>
    <w:rsid w:val="00F77398"/>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rsa\accounting\CFO\VALUATION\2014\TRS%20Cost%20Sharing%20Reports\GASB68_2014\www.rsa-al.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sa-al.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sa\accounting\CFO\VALUATION\2014\TRS%20Cost%20Sharing%20Reports\GASB68_2014\www.rsa-al.go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FB68-0C2E-4BCE-9989-F65987AE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jessica.jones</dc:creator>
  <cp:lastModifiedBy>Adrienne Griffin</cp:lastModifiedBy>
  <cp:revision>8</cp:revision>
  <cp:lastPrinted>2024-07-09T14:47:00Z</cp:lastPrinted>
  <dcterms:created xsi:type="dcterms:W3CDTF">2024-06-14T19:17:00Z</dcterms:created>
  <dcterms:modified xsi:type="dcterms:W3CDTF">2024-07-16T15:31:00Z</dcterms:modified>
</cp:coreProperties>
</file>