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59" w:rsidRPr="005414E6" w:rsidRDefault="008C6D6D" w:rsidP="00A940AE">
      <w:pPr>
        <w:widowControl w:val="0"/>
        <w:autoSpaceDE w:val="0"/>
        <w:autoSpaceDN w:val="0"/>
        <w:adjustRightInd w:val="0"/>
        <w:spacing w:after="0" w:line="240" w:lineRule="auto"/>
        <w:rPr>
          <w:rFonts w:ascii="Times New Roman" w:hAnsi="Times New Roman"/>
          <w:b/>
          <w:color w:val="2B2A29"/>
          <w:spacing w:val="-1"/>
          <w:sz w:val="25"/>
          <w:szCs w:val="25"/>
        </w:rPr>
      </w:pPr>
      <w:bookmarkStart w:id="0" w:name="Pg231"/>
      <w:bookmarkEnd w:id="0"/>
      <w:r w:rsidRPr="005414E6">
        <w:rPr>
          <w:rFonts w:ascii="Times New Roman" w:hAnsi="Times New Roman"/>
          <w:b/>
          <w:color w:val="2B2A29"/>
          <w:spacing w:val="-1"/>
          <w:sz w:val="25"/>
          <w:szCs w:val="25"/>
        </w:rPr>
        <w:t>Illustration 4</w:t>
      </w:r>
      <w:r w:rsidR="00A940AE">
        <w:rPr>
          <w:rFonts w:ascii="Times New Roman" w:hAnsi="Times New Roman"/>
          <w:b/>
          <w:color w:val="2B2A29"/>
          <w:spacing w:val="-1"/>
          <w:sz w:val="25"/>
          <w:szCs w:val="25"/>
        </w:rPr>
        <w:t xml:space="preserve"> -- </w:t>
      </w:r>
      <w:r w:rsidRPr="005414E6">
        <w:rPr>
          <w:rFonts w:ascii="Times New Roman" w:hAnsi="Times New Roman"/>
          <w:b/>
          <w:color w:val="2B2A29"/>
          <w:spacing w:val="-1"/>
          <w:sz w:val="25"/>
          <w:szCs w:val="25"/>
        </w:rPr>
        <w:t>Note Disclosures and Required</w:t>
      </w:r>
    </w:p>
    <w:p w:rsidR="00A26B59" w:rsidRPr="005414E6" w:rsidRDefault="008C6D6D" w:rsidP="00A940AE">
      <w:pPr>
        <w:widowControl w:val="0"/>
        <w:autoSpaceDE w:val="0"/>
        <w:autoSpaceDN w:val="0"/>
        <w:adjustRightInd w:val="0"/>
        <w:spacing w:after="0" w:line="240" w:lineRule="auto"/>
        <w:rPr>
          <w:rFonts w:ascii="Times New Roman" w:hAnsi="Times New Roman"/>
          <w:b/>
          <w:color w:val="2B2A29"/>
          <w:spacing w:val="-1"/>
          <w:sz w:val="25"/>
          <w:szCs w:val="25"/>
        </w:rPr>
      </w:pPr>
      <w:r w:rsidRPr="005414E6">
        <w:rPr>
          <w:rFonts w:ascii="Times New Roman" w:hAnsi="Times New Roman"/>
          <w:b/>
          <w:color w:val="2B2A29"/>
          <w:spacing w:val="4"/>
          <w:sz w:val="25"/>
          <w:szCs w:val="25"/>
        </w:rPr>
        <w:t xml:space="preserve">Supplementary Information for a Cost-Sharing </w:t>
      </w:r>
      <w:r w:rsidRPr="005414E6">
        <w:rPr>
          <w:rFonts w:ascii="Times New Roman" w:hAnsi="Times New Roman"/>
          <w:b/>
          <w:color w:val="2B2A29"/>
          <w:spacing w:val="4"/>
          <w:sz w:val="25"/>
          <w:szCs w:val="25"/>
        </w:rPr>
        <w:br/>
      </w:r>
      <w:r w:rsidRPr="005414E6">
        <w:rPr>
          <w:rFonts w:ascii="Times New Roman" w:hAnsi="Times New Roman"/>
          <w:b/>
          <w:color w:val="2B2A29"/>
          <w:spacing w:val="-1"/>
          <w:sz w:val="25"/>
          <w:szCs w:val="25"/>
        </w:rPr>
        <w:t xml:space="preserve">Employer That Has a Special Funding Situation </w:t>
      </w:r>
      <w:r w:rsidRPr="005414E6">
        <w:rPr>
          <w:rFonts w:ascii="Times New Roman" w:hAnsi="Times New Roman"/>
          <w:b/>
          <w:color w:val="2B2A29"/>
          <w:spacing w:val="-1"/>
          <w:sz w:val="25"/>
          <w:szCs w:val="25"/>
        </w:rPr>
        <w:br/>
        <w:t>(No Other Nonemployer Contributing Entities)</w:t>
      </w:r>
    </w:p>
    <w:p w:rsidR="00A26B59" w:rsidRPr="00986CC7" w:rsidRDefault="00A26B59" w:rsidP="00A940AE">
      <w:pPr>
        <w:widowControl w:val="0"/>
        <w:autoSpaceDE w:val="0"/>
        <w:autoSpaceDN w:val="0"/>
        <w:adjustRightInd w:val="0"/>
        <w:spacing w:after="0" w:line="240" w:lineRule="exact"/>
        <w:jc w:val="both"/>
        <w:rPr>
          <w:rFonts w:ascii="Times New Roman" w:hAnsi="Times New Roman"/>
          <w:color w:val="2B2A29"/>
          <w:spacing w:val="-1"/>
          <w:sz w:val="25"/>
          <w:szCs w:val="25"/>
        </w:rPr>
      </w:pPr>
    </w:p>
    <w:p w:rsidR="00A26B59" w:rsidRPr="00313C4B" w:rsidRDefault="008C6D6D" w:rsidP="00A940AE">
      <w:pPr>
        <w:widowControl w:val="0"/>
        <w:autoSpaceDE w:val="0"/>
        <w:autoSpaceDN w:val="0"/>
        <w:adjustRightInd w:val="0"/>
        <w:spacing w:after="0" w:line="240" w:lineRule="exact"/>
        <w:jc w:val="both"/>
        <w:rPr>
          <w:rFonts w:ascii="Times New Roman" w:hAnsi="Times New Roman"/>
          <w:i/>
          <w:iCs/>
          <w:color w:val="2B2A29"/>
          <w:spacing w:val="-3"/>
          <w:sz w:val="20"/>
          <w:szCs w:val="19"/>
        </w:rPr>
      </w:pPr>
      <w:r w:rsidRPr="00313C4B">
        <w:rPr>
          <w:rFonts w:ascii="Times New Roman" w:hAnsi="Times New Roman"/>
          <w:i/>
          <w:iCs/>
          <w:color w:val="2B2A29"/>
          <w:spacing w:val="-1"/>
          <w:sz w:val="20"/>
          <w:szCs w:val="19"/>
        </w:rPr>
        <w:t>[Note: This illustration includes only note disclosures and required supplemen</w:t>
      </w:r>
      <w:r w:rsidRPr="00313C4B">
        <w:rPr>
          <w:rFonts w:ascii="Times New Roman" w:hAnsi="Times New Roman"/>
          <w:i/>
          <w:iCs/>
          <w:color w:val="2B2A29"/>
          <w:spacing w:val="-3"/>
          <w:sz w:val="20"/>
          <w:szCs w:val="19"/>
        </w:rPr>
        <w:t>tary information required by this Statement.</w:t>
      </w:r>
      <w:r w:rsidR="00986CC7" w:rsidRPr="00313C4B">
        <w:rPr>
          <w:rFonts w:ascii="Times New Roman" w:hAnsi="Times New Roman"/>
          <w:i/>
          <w:iCs/>
          <w:color w:val="2B2A29"/>
          <w:spacing w:val="-3"/>
          <w:sz w:val="20"/>
          <w:szCs w:val="19"/>
        </w:rPr>
        <w:t>]</w:t>
      </w:r>
      <w:r w:rsidRPr="00313C4B">
        <w:rPr>
          <w:rFonts w:ascii="Times New Roman" w:hAnsi="Times New Roman"/>
          <w:i/>
          <w:iCs/>
          <w:color w:val="2B2A29"/>
          <w:spacing w:val="-3"/>
          <w:sz w:val="20"/>
          <w:szCs w:val="19"/>
        </w:rPr>
        <w:t xml:space="preserve"> </w:t>
      </w:r>
    </w:p>
    <w:p w:rsidR="00A26B59" w:rsidRPr="00313C4B" w:rsidRDefault="00A26B59" w:rsidP="00A940AE">
      <w:pPr>
        <w:widowControl w:val="0"/>
        <w:autoSpaceDE w:val="0"/>
        <w:autoSpaceDN w:val="0"/>
        <w:adjustRightInd w:val="0"/>
        <w:spacing w:after="0" w:line="218" w:lineRule="exact"/>
        <w:jc w:val="center"/>
        <w:rPr>
          <w:rFonts w:ascii="Times New Roman" w:hAnsi="Times New Roman"/>
          <w:i/>
          <w:iCs/>
          <w:color w:val="2B2A29"/>
          <w:spacing w:val="-3"/>
          <w:sz w:val="20"/>
          <w:szCs w:val="19"/>
        </w:rPr>
      </w:pPr>
    </w:p>
    <w:p w:rsidR="00986CC7" w:rsidRPr="00313C4B" w:rsidRDefault="00986CC7" w:rsidP="00A940AE">
      <w:pPr>
        <w:autoSpaceDE w:val="0"/>
        <w:autoSpaceDN w:val="0"/>
        <w:adjustRightInd w:val="0"/>
        <w:spacing w:after="0" w:line="240" w:lineRule="auto"/>
        <w:jc w:val="center"/>
        <w:rPr>
          <w:rFonts w:ascii="Times New Roman" w:eastAsia="Calibri" w:hAnsi="Times New Roman"/>
          <w:b/>
          <w:bCs/>
          <w:sz w:val="20"/>
          <w:szCs w:val="19"/>
        </w:rPr>
      </w:pPr>
      <w:r w:rsidRPr="00313C4B">
        <w:rPr>
          <w:rFonts w:ascii="Times New Roman" w:eastAsia="Calibri" w:hAnsi="Times New Roman"/>
          <w:b/>
          <w:bCs/>
          <w:sz w:val="20"/>
          <w:szCs w:val="19"/>
        </w:rPr>
        <w:t>Sample County</w:t>
      </w:r>
    </w:p>
    <w:p w:rsidR="00986CC7" w:rsidRPr="00313C4B" w:rsidRDefault="00986CC7" w:rsidP="00A940AE">
      <w:pPr>
        <w:autoSpaceDE w:val="0"/>
        <w:autoSpaceDN w:val="0"/>
        <w:adjustRightInd w:val="0"/>
        <w:spacing w:after="0" w:line="240" w:lineRule="auto"/>
        <w:jc w:val="center"/>
        <w:rPr>
          <w:rFonts w:ascii="Times New Roman" w:eastAsia="Calibri" w:hAnsi="Times New Roman"/>
          <w:b/>
          <w:bCs/>
          <w:sz w:val="20"/>
          <w:szCs w:val="19"/>
        </w:rPr>
      </w:pPr>
      <w:r w:rsidRPr="00313C4B">
        <w:rPr>
          <w:rFonts w:ascii="Times New Roman" w:eastAsia="Calibri" w:hAnsi="Times New Roman"/>
          <w:b/>
          <w:bCs/>
          <w:sz w:val="20"/>
          <w:szCs w:val="19"/>
        </w:rPr>
        <w:t>Notes to the Financial Statements</w:t>
      </w:r>
    </w:p>
    <w:p w:rsidR="00986CC7" w:rsidRPr="00313C4B" w:rsidRDefault="00986CC7" w:rsidP="00A940AE">
      <w:pPr>
        <w:autoSpaceDE w:val="0"/>
        <w:autoSpaceDN w:val="0"/>
        <w:adjustRightInd w:val="0"/>
        <w:spacing w:after="0" w:line="240" w:lineRule="auto"/>
        <w:jc w:val="center"/>
        <w:rPr>
          <w:rFonts w:ascii="Times New Roman" w:eastAsia="Calibri" w:hAnsi="Times New Roman"/>
          <w:b/>
          <w:bCs/>
          <w:sz w:val="20"/>
          <w:szCs w:val="19"/>
        </w:rPr>
      </w:pPr>
      <w:r w:rsidRPr="00313C4B">
        <w:rPr>
          <w:rFonts w:ascii="Times New Roman" w:eastAsia="Calibri" w:hAnsi="Times New Roman"/>
          <w:b/>
          <w:bCs/>
          <w:sz w:val="20"/>
          <w:szCs w:val="19"/>
        </w:rPr>
        <w:t>for t</w:t>
      </w:r>
      <w:r w:rsidR="00FB5907">
        <w:rPr>
          <w:rFonts w:ascii="Times New Roman" w:eastAsia="Calibri" w:hAnsi="Times New Roman"/>
          <w:b/>
          <w:bCs/>
          <w:sz w:val="20"/>
          <w:szCs w:val="19"/>
        </w:rPr>
        <w:t>he Year Ended September 30, 2016</w:t>
      </w:r>
    </w:p>
    <w:p w:rsidR="00A26B59" w:rsidRPr="00313C4B" w:rsidRDefault="005414E6" w:rsidP="00A940AE">
      <w:pPr>
        <w:widowControl w:val="0"/>
        <w:autoSpaceDE w:val="0"/>
        <w:autoSpaceDN w:val="0"/>
        <w:adjustRightInd w:val="0"/>
        <w:spacing w:after="0" w:line="218" w:lineRule="exact"/>
        <w:rPr>
          <w:rFonts w:ascii="Times New Roman" w:hAnsi="Times New Roman"/>
          <w:color w:val="2B2A29"/>
          <w:sz w:val="20"/>
          <w:szCs w:val="19"/>
        </w:rPr>
      </w:pPr>
      <w:r w:rsidRPr="00313C4B">
        <w:rPr>
          <w:rFonts w:ascii="Times New Roman" w:hAnsi="Times New Roman"/>
          <w:color w:val="2B2A29"/>
          <w:sz w:val="20"/>
          <w:szCs w:val="19"/>
        </w:rPr>
        <w:t xml:space="preserve">     </w:t>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8C6D6D" w:rsidRPr="00313C4B">
        <w:rPr>
          <w:rFonts w:ascii="Times New Roman" w:hAnsi="Times New Roman"/>
          <w:color w:val="2B2A29"/>
          <w:sz w:val="20"/>
          <w:szCs w:val="19"/>
        </w:rPr>
        <w:t xml:space="preserve">(Dollar amounts in thousands) </w:t>
      </w: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z w:val="20"/>
          <w:szCs w:val="19"/>
        </w:rPr>
      </w:pPr>
    </w:p>
    <w:p w:rsidR="00A26B59" w:rsidRPr="005C5C7B" w:rsidRDefault="008C6D6D" w:rsidP="00A940AE">
      <w:pPr>
        <w:widowControl w:val="0"/>
        <w:autoSpaceDE w:val="0"/>
        <w:autoSpaceDN w:val="0"/>
        <w:adjustRightInd w:val="0"/>
        <w:spacing w:after="0" w:line="218" w:lineRule="exact"/>
        <w:rPr>
          <w:rFonts w:ascii="Times New Roman" w:hAnsi="Times New Roman"/>
          <w:b/>
          <w:color w:val="2B2A29"/>
          <w:spacing w:val="-1"/>
          <w:szCs w:val="19"/>
        </w:rPr>
      </w:pPr>
      <w:r w:rsidRPr="005C5C7B">
        <w:rPr>
          <w:rFonts w:ascii="Times New Roman" w:hAnsi="Times New Roman"/>
          <w:b/>
          <w:color w:val="2B2A29"/>
          <w:spacing w:val="-1"/>
          <w:szCs w:val="19"/>
        </w:rPr>
        <w:t xml:space="preserve">Summary of Significant Accounting Policies </w:t>
      </w:r>
    </w:p>
    <w:p w:rsidR="00A26B59" w:rsidRPr="00313C4B" w:rsidRDefault="00A26B59" w:rsidP="00A940AE">
      <w:pPr>
        <w:widowControl w:val="0"/>
        <w:autoSpaceDE w:val="0"/>
        <w:autoSpaceDN w:val="0"/>
        <w:adjustRightInd w:val="0"/>
        <w:spacing w:after="0" w:line="240" w:lineRule="exact"/>
        <w:jc w:val="both"/>
        <w:rPr>
          <w:rFonts w:ascii="Times New Roman" w:hAnsi="Times New Roman"/>
          <w:color w:val="2B2A29"/>
          <w:spacing w:val="-1"/>
          <w:sz w:val="20"/>
          <w:szCs w:val="19"/>
        </w:rPr>
      </w:pPr>
    </w:p>
    <w:p w:rsidR="00986CC7" w:rsidRPr="00313C4B" w:rsidRDefault="005414E6" w:rsidP="00A940AE">
      <w:pPr>
        <w:widowControl w:val="0"/>
        <w:autoSpaceDE w:val="0"/>
        <w:autoSpaceDN w:val="0"/>
        <w:adjustRightInd w:val="0"/>
        <w:spacing w:after="0" w:line="240" w:lineRule="exact"/>
        <w:jc w:val="both"/>
        <w:rPr>
          <w:rFonts w:ascii="Times New Roman" w:hAnsi="Times New Roman"/>
          <w:color w:val="2B2A29"/>
          <w:spacing w:val="-3"/>
          <w:sz w:val="20"/>
          <w:szCs w:val="19"/>
        </w:rPr>
      </w:pPr>
      <w:r w:rsidRPr="00313C4B">
        <w:rPr>
          <w:rFonts w:ascii="Times New Roman" w:hAnsi="Times New Roman"/>
          <w:b/>
          <w:i/>
          <w:iCs/>
          <w:color w:val="2B2A29"/>
          <w:spacing w:val="-3"/>
          <w:sz w:val="20"/>
          <w:szCs w:val="19"/>
        </w:rPr>
        <w:t>Pensions</w:t>
      </w:r>
      <w:r w:rsidR="008C6D6D" w:rsidRPr="00313C4B">
        <w:rPr>
          <w:rFonts w:ascii="Times New Roman" w:hAnsi="Times New Roman"/>
          <w:color w:val="2B2A29"/>
          <w:spacing w:val="-3"/>
          <w:sz w:val="20"/>
          <w:szCs w:val="19"/>
        </w:rPr>
        <w:t xml:space="preserve"> </w:t>
      </w:r>
    </w:p>
    <w:p w:rsidR="00986CC7" w:rsidRPr="00313C4B" w:rsidRDefault="00986CC7" w:rsidP="00A940AE">
      <w:pPr>
        <w:widowControl w:val="0"/>
        <w:autoSpaceDE w:val="0"/>
        <w:autoSpaceDN w:val="0"/>
        <w:adjustRightInd w:val="0"/>
        <w:spacing w:after="0" w:line="240" w:lineRule="exact"/>
        <w:jc w:val="both"/>
        <w:rPr>
          <w:rFonts w:ascii="Times New Roman" w:hAnsi="Times New Roman"/>
          <w:color w:val="2B2A29"/>
          <w:spacing w:val="-3"/>
          <w:sz w:val="20"/>
          <w:szCs w:val="19"/>
        </w:rPr>
      </w:pPr>
    </w:p>
    <w:p w:rsidR="00986CC7" w:rsidRPr="00313C4B" w:rsidRDefault="00986CC7" w:rsidP="003A44CC">
      <w:pPr>
        <w:widowControl w:val="0"/>
        <w:autoSpaceDE w:val="0"/>
        <w:autoSpaceDN w:val="0"/>
        <w:adjustRightInd w:val="0"/>
        <w:spacing w:after="0" w:line="240" w:lineRule="auto"/>
        <w:jc w:val="both"/>
        <w:rPr>
          <w:rFonts w:ascii="Times New Roman" w:hAnsi="Times New Roman"/>
          <w:color w:val="2B2A29"/>
          <w:spacing w:val="-3"/>
          <w:sz w:val="20"/>
          <w:szCs w:val="19"/>
        </w:rPr>
      </w:pPr>
      <w:r w:rsidRPr="00313C4B">
        <w:rPr>
          <w:rFonts w:ascii="Times New Roman" w:hAnsi="Times New Roman"/>
          <w:color w:val="2B2A29"/>
          <w:spacing w:val="-3"/>
          <w:sz w:val="20"/>
          <w:szCs w:val="19"/>
        </w:rPr>
        <w:t>The Judicial Reti</w:t>
      </w:r>
      <w:r w:rsidR="004D2C3B">
        <w:rPr>
          <w:rFonts w:ascii="Times New Roman" w:hAnsi="Times New Roman"/>
          <w:color w:val="2B2A29"/>
          <w:spacing w:val="-3"/>
          <w:sz w:val="20"/>
          <w:szCs w:val="19"/>
        </w:rPr>
        <w:t>rement Fund of Alabama (the Plan</w:t>
      </w:r>
      <w:r w:rsidRPr="00313C4B">
        <w:rPr>
          <w:rFonts w:ascii="Times New Roman" w:hAnsi="Times New Roman"/>
          <w:color w:val="2B2A29"/>
          <w:spacing w:val="-3"/>
          <w:sz w:val="20"/>
          <w:szCs w:val="19"/>
        </w:rPr>
        <w:t xml:space="preserve">) financial statements are prepared using the economic resources measurement focus and accrual basis of accounting. </w:t>
      </w:r>
      <w:r w:rsidRPr="00313C4B">
        <w:rPr>
          <w:rFonts w:ascii="Times New Roman" w:hAnsi="Times New Roman"/>
          <w:sz w:val="20"/>
          <w:szCs w:val="19"/>
        </w:rPr>
        <w:t xml:space="preserve">Contributions are recognized as revenues when earned, pursuant to plan requirements. Benefits and refunds are recognized as revenues when due and payable in accordance with the terms of the plan.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Pr>
          <w:rFonts w:ascii="Times New Roman" w:hAnsi="Times New Roman"/>
          <w:sz w:val="20"/>
          <w:szCs w:val="19"/>
        </w:rPr>
        <w:t>the Plan</w:t>
      </w:r>
      <w:r w:rsidRPr="00313C4B">
        <w:rPr>
          <w:rFonts w:ascii="Times New Roman" w:hAnsi="Times New Roman"/>
          <w:sz w:val="20"/>
          <w:szCs w:val="19"/>
        </w:rPr>
        <w:t xml:space="preserve"> is considered a component unit of the State of Alabama and is included in the State’s Comprehensive Annual Financial Report.</w:t>
      </w: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z w:val="20"/>
          <w:szCs w:val="19"/>
        </w:rPr>
      </w:pPr>
    </w:p>
    <w:p w:rsidR="005414E6" w:rsidRPr="00313C4B" w:rsidRDefault="005414E6" w:rsidP="005C5C7B">
      <w:pPr>
        <w:tabs>
          <w:tab w:val="left" w:pos="542"/>
        </w:tabs>
        <w:spacing w:after="0" w:line="240" w:lineRule="auto"/>
        <w:rPr>
          <w:rFonts w:ascii="Times New Roman" w:hAnsi="Times New Roman"/>
          <w:b/>
          <w:iCs/>
          <w:color w:val="2B2A29"/>
          <w:szCs w:val="19"/>
        </w:rPr>
      </w:pPr>
      <w:bookmarkStart w:id="1" w:name="Pg232"/>
      <w:bookmarkEnd w:id="1"/>
      <w:r w:rsidRPr="00313C4B">
        <w:rPr>
          <w:rFonts w:ascii="Times New Roman" w:hAnsi="Times New Roman"/>
          <w:b/>
          <w:szCs w:val="19"/>
        </w:rPr>
        <w:t>G</w:t>
      </w:r>
      <w:r w:rsidR="008C6D6D" w:rsidRPr="00313C4B">
        <w:rPr>
          <w:rFonts w:ascii="Times New Roman" w:hAnsi="Times New Roman"/>
          <w:b/>
          <w:iCs/>
          <w:color w:val="2B2A29"/>
          <w:szCs w:val="19"/>
        </w:rPr>
        <w:t xml:space="preserve">eneral Information about the Pension Plan </w:t>
      </w:r>
    </w:p>
    <w:p w:rsidR="00A940AE" w:rsidRPr="00313C4B" w:rsidRDefault="00A940AE" w:rsidP="005C5C7B">
      <w:pPr>
        <w:tabs>
          <w:tab w:val="left" w:pos="542"/>
        </w:tabs>
        <w:spacing w:after="0" w:line="240" w:lineRule="auto"/>
        <w:rPr>
          <w:rFonts w:ascii="Times New Roman" w:hAnsi="Times New Roman"/>
          <w:b/>
          <w:i/>
          <w:iCs/>
          <w:color w:val="2B2A29"/>
          <w:spacing w:val="-1"/>
          <w:sz w:val="20"/>
          <w:szCs w:val="19"/>
        </w:rPr>
      </w:pPr>
    </w:p>
    <w:p w:rsidR="00986CC7" w:rsidRPr="00313C4B" w:rsidRDefault="008C6D6D" w:rsidP="005C5C7B">
      <w:pPr>
        <w:tabs>
          <w:tab w:val="left" w:pos="542"/>
        </w:tabs>
        <w:spacing w:after="0" w:line="240" w:lineRule="auto"/>
        <w:rPr>
          <w:rFonts w:ascii="Times New Roman" w:hAnsi="Times New Roman"/>
          <w:i/>
          <w:iCs/>
          <w:color w:val="2B2A29"/>
          <w:sz w:val="20"/>
          <w:szCs w:val="19"/>
        </w:rPr>
      </w:pPr>
      <w:r w:rsidRPr="00313C4B">
        <w:rPr>
          <w:rFonts w:ascii="Times New Roman" w:hAnsi="Times New Roman"/>
          <w:b/>
          <w:i/>
          <w:iCs/>
          <w:color w:val="2B2A29"/>
          <w:spacing w:val="-1"/>
          <w:sz w:val="20"/>
          <w:szCs w:val="19"/>
        </w:rPr>
        <w:t>Plan description</w:t>
      </w:r>
    </w:p>
    <w:p w:rsidR="00950F23" w:rsidRDefault="00950F23" w:rsidP="005C5C7B">
      <w:pPr>
        <w:widowControl w:val="0"/>
        <w:autoSpaceDE w:val="0"/>
        <w:autoSpaceDN w:val="0"/>
        <w:adjustRightInd w:val="0"/>
        <w:spacing w:after="0" w:line="240" w:lineRule="auto"/>
        <w:jc w:val="both"/>
        <w:rPr>
          <w:rFonts w:ascii="Times New Roman" w:hAnsi="Times New Roman"/>
          <w:b/>
          <w:color w:val="2B2A29"/>
          <w:spacing w:val="-1"/>
          <w:sz w:val="20"/>
          <w:szCs w:val="19"/>
        </w:rPr>
      </w:pPr>
    </w:p>
    <w:p w:rsidR="00A26B59" w:rsidRPr="00313C4B" w:rsidRDefault="008C6D6D" w:rsidP="005C5C7B">
      <w:pPr>
        <w:widowControl w:val="0"/>
        <w:autoSpaceDE w:val="0"/>
        <w:autoSpaceDN w:val="0"/>
        <w:adjustRightInd w:val="0"/>
        <w:spacing w:after="0" w:line="240" w:lineRule="auto"/>
        <w:jc w:val="both"/>
        <w:rPr>
          <w:rFonts w:ascii="Times New Roman" w:hAnsi="Times New Roman"/>
          <w:b/>
          <w:color w:val="2B2A29"/>
          <w:spacing w:val="-1"/>
          <w:sz w:val="20"/>
          <w:szCs w:val="19"/>
        </w:rPr>
      </w:pPr>
      <w:r w:rsidRPr="00313C4B">
        <w:rPr>
          <w:rFonts w:ascii="Times New Roman" w:hAnsi="Times New Roman"/>
          <w:b/>
          <w:color w:val="2B2A29"/>
          <w:spacing w:val="-1"/>
          <w:sz w:val="20"/>
          <w:szCs w:val="19"/>
        </w:rPr>
        <w:t xml:space="preserve"> </w:t>
      </w:r>
      <w:r w:rsidR="00986CC7" w:rsidRPr="00313C4B">
        <w:rPr>
          <w:rFonts w:ascii="Times New Roman" w:hAnsi="Times New Roman"/>
          <w:sz w:val="20"/>
          <w:szCs w:val="19"/>
        </w:rPr>
        <w:t>The Judicial Re</w:t>
      </w:r>
      <w:r w:rsidR="00950F23">
        <w:rPr>
          <w:rFonts w:ascii="Times New Roman" w:hAnsi="Times New Roman"/>
          <w:sz w:val="20"/>
          <w:szCs w:val="19"/>
        </w:rPr>
        <w:t>tirement Fund of Alabama (the Plan</w:t>
      </w:r>
      <w:r w:rsidR="00986CC7" w:rsidRPr="00313C4B">
        <w:rPr>
          <w:rFonts w:ascii="Times New Roman" w:hAnsi="Times New Roman"/>
          <w:sz w:val="20"/>
          <w:szCs w:val="19"/>
        </w:rPr>
        <w:t xml:space="preserve">), a cost-sharing multiple-employer public employee retirement plan, was established as of September 18, 1973, under the provisions of 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Act 1205 of the Legislature of 1975 supplemented the provisions of Act 1163 and enlarged the scope and coverage of the JRF to include District and Probate Judges. The responsibility for the general administration and operation of the JRF is vested in the Board of Control of the Employees’ Retirement System of Alabama (ERS). </w:t>
      </w:r>
      <w:r w:rsidR="009047CF">
        <w:rPr>
          <w:rFonts w:ascii="Times New Roman" w:hAnsi="Times New Roman"/>
          <w:sz w:val="20"/>
          <w:szCs w:val="19"/>
        </w:rPr>
        <w:t>The Plan</w:t>
      </w:r>
      <w:r w:rsidR="00986CC7" w:rsidRPr="00313C4B">
        <w:rPr>
          <w:rFonts w:ascii="Times New Roman" w:hAnsi="Times New Roman"/>
          <w:sz w:val="20"/>
          <w:szCs w:val="19"/>
        </w:rPr>
        <w:t xml:space="preserve"> </w:t>
      </w:r>
      <w:r w:rsidR="005414E6" w:rsidRPr="00313C4B">
        <w:rPr>
          <w:rFonts w:ascii="Times New Roman" w:hAnsi="Times New Roman"/>
          <w:sz w:val="20"/>
          <w:szCs w:val="19"/>
        </w:rPr>
        <w:t>issues a publicly available financial report that can be obtained at www.rsa-al.gov</w:t>
      </w:r>
      <w:r w:rsidR="00063694">
        <w:rPr>
          <w:rFonts w:ascii="Times New Roman" w:hAnsi="Times New Roman"/>
          <w:sz w:val="20"/>
          <w:szCs w:val="19"/>
        </w:rPr>
        <w:t>.</w:t>
      </w:r>
    </w:p>
    <w:p w:rsidR="00A940AE" w:rsidRPr="00313C4B" w:rsidRDefault="00A940AE" w:rsidP="005C5C7B">
      <w:pPr>
        <w:widowControl w:val="0"/>
        <w:autoSpaceDE w:val="0"/>
        <w:autoSpaceDN w:val="0"/>
        <w:adjustRightInd w:val="0"/>
        <w:spacing w:after="0" w:line="240" w:lineRule="auto"/>
        <w:jc w:val="both"/>
        <w:rPr>
          <w:rFonts w:ascii="Times New Roman" w:hAnsi="Times New Roman"/>
          <w:b/>
          <w:i/>
          <w:iCs/>
          <w:color w:val="2B2A29"/>
          <w:w w:val="103"/>
          <w:sz w:val="20"/>
          <w:szCs w:val="19"/>
        </w:rPr>
      </w:pPr>
    </w:p>
    <w:p w:rsidR="005414E6" w:rsidRPr="00313C4B" w:rsidRDefault="008C6D6D" w:rsidP="005C5C7B">
      <w:pPr>
        <w:widowControl w:val="0"/>
        <w:autoSpaceDE w:val="0"/>
        <w:autoSpaceDN w:val="0"/>
        <w:adjustRightInd w:val="0"/>
        <w:spacing w:after="0" w:line="240" w:lineRule="auto"/>
        <w:jc w:val="both"/>
        <w:rPr>
          <w:rFonts w:ascii="Times New Roman" w:hAnsi="Times New Roman"/>
          <w:i/>
          <w:iCs/>
          <w:color w:val="2B2A29"/>
          <w:w w:val="103"/>
          <w:sz w:val="20"/>
          <w:szCs w:val="19"/>
        </w:rPr>
      </w:pPr>
      <w:r w:rsidRPr="00313C4B">
        <w:rPr>
          <w:rFonts w:ascii="Times New Roman" w:hAnsi="Times New Roman"/>
          <w:b/>
          <w:i/>
          <w:iCs/>
          <w:color w:val="2B2A29"/>
          <w:w w:val="103"/>
          <w:sz w:val="20"/>
          <w:szCs w:val="19"/>
        </w:rPr>
        <w:t>Benefits provided</w:t>
      </w:r>
    </w:p>
    <w:p w:rsidR="00950F23" w:rsidRDefault="008C6D6D" w:rsidP="005C5C7B">
      <w:pPr>
        <w:widowControl w:val="0"/>
        <w:autoSpaceDE w:val="0"/>
        <w:autoSpaceDN w:val="0"/>
        <w:adjustRightInd w:val="0"/>
        <w:spacing w:after="0" w:line="240" w:lineRule="auto"/>
        <w:jc w:val="both"/>
        <w:rPr>
          <w:rFonts w:ascii="Times New Roman" w:hAnsi="Times New Roman"/>
          <w:color w:val="2B2A29"/>
          <w:w w:val="103"/>
          <w:sz w:val="20"/>
          <w:szCs w:val="19"/>
        </w:rPr>
      </w:pPr>
      <w:r w:rsidRPr="00313C4B">
        <w:rPr>
          <w:rFonts w:ascii="Times New Roman" w:hAnsi="Times New Roman"/>
          <w:color w:val="2B2A29"/>
          <w:w w:val="103"/>
          <w:sz w:val="20"/>
          <w:szCs w:val="19"/>
        </w:rPr>
        <w:t xml:space="preserve"> </w:t>
      </w:r>
    </w:p>
    <w:p w:rsidR="00A26B59" w:rsidRPr="00313C4B" w:rsidRDefault="00083169" w:rsidP="005C5C7B">
      <w:pPr>
        <w:widowControl w:val="0"/>
        <w:autoSpaceDE w:val="0"/>
        <w:autoSpaceDN w:val="0"/>
        <w:adjustRightInd w:val="0"/>
        <w:spacing w:after="0" w:line="240" w:lineRule="auto"/>
        <w:jc w:val="both"/>
        <w:rPr>
          <w:rFonts w:ascii="Times New Roman" w:hAnsi="Times New Roman"/>
          <w:color w:val="2B2A29"/>
          <w:spacing w:val="-2"/>
          <w:sz w:val="20"/>
          <w:szCs w:val="19"/>
        </w:rPr>
      </w:pPr>
      <w:r>
        <w:rPr>
          <w:rFonts w:ascii="Times New Roman" w:hAnsi="Times New Roman"/>
          <w:sz w:val="20"/>
          <w:szCs w:val="19"/>
        </w:rPr>
        <w:t>The Plan</w:t>
      </w:r>
      <w:r w:rsidR="005414E6" w:rsidRPr="00313C4B">
        <w:rPr>
          <w:rFonts w:ascii="Times New Roman" w:hAnsi="Times New Roman"/>
          <w:sz w:val="20"/>
          <w:szCs w:val="19"/>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particular office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for circuit, appellate, and probate judges is 75% of the member’s salary at the time of separation from service. The service retirement benefit for a district judge is 75% of the position’s salary immediately prior to retirement.</w:t>
      </w:r>
    </w:p>
    <w:p w:rsidR="00950F23" w:rsidRDefault="00950F23" w:rsidP="00A940AE">
      <w:pPr>
        <w:widowControl w:val="0"/>
        <w:autoSpaceDE w:val="0"/>
        <w:autoSpaceDN w:val="0"/>
        <w:adjustRightInd w:val="0"/>
        <w:spacing w:after="0" w:line="250" w:lineRule="exact"/>
        <w:jc w:val="both"/>
        <w:rPr>
          <w:rFonts w:ascii="Times New Roman" w:hAnsi="Times New Roman"/>
          <w:b/>
          <w:i/>
          <w:iCs/>
          <w:color w:val="2B2A29"/>
          <w:spacing w:val="-1"/>
          <w:sz w:val="20"/>
          <w:szCs w:val="19"/>
        </w:rPr>
      </w:pPr>
    </w:p>
    <w:p w:rsidR="005414E6" w:rsidRPr="00313C4B" w:rsidRDefault="005414E6" w:rsidP="005C5C7B">
      <w:pPr>
        <w:widowControl w:val="0"/>
        <w:autoSpaceDE w:val="0"/>
        <w:autoSpaceDN w:val="0"/>
        <w:adjustRightInd w:val="0"/>
        <w:spacing w:after="0" w:line="240" w:lineRule="auto"/>
        <w:jc w:val="both"/>
        <w:rPr>
          <w:rFonts w:ascii="Times New Roman" w:hAnsi="Times New Roman"/>
          <w:b/>
          <w:i/>
          <w:iCs/>
          <w:color w:val="2B2A29"/>
          <w:spacing w:val="-1"/>
          <w:sz w:val="20"/>
          <w:szCs w:val="19"/>
        </w:rPr>
      </w:pPr>
      <w:r w:rsidRPr="00313C4B">
        <w:rPr>
          <w:rFonts w:ascii="Times New Roman" w:hAnsi="Times New Roman"/>
          <w:b/>
          <w:i/>
          <w:iCs/>
          <w:color w:val="2B2A29"/>
          <w:spacing w:val="-1"/>
          <w:sz w:val="20"/>
          <w:szCs w:val="19"/>
        </w:rPr>
        <w:t>Contributions</w:t>
      </w:r>
    </w:p>
    <w:p w:rsidR="00A26B59" w:rsidRPr="00313C4B" w:rsidRDefault="008C6D6D" w:rsidP="005C5C7B">
      <w:pPr>
        <w:widowControl w:val="0"/>
        <w:autoSpaceDE w:val="0"/>
        <w:autoSpaceDN w:val="0"/>
        <w:adjustRightInd w:val="0"/>
        <w:spacing w:after="0" w:line="240" w:lineRule="auto"/>
        <w:jc w:val="both"/>
        <w:rPr>
          <w:rFonts w:ascii="Times New Roman" w:hAnsi="Times New Roman"/>
          <w:color w:val="2B2A29"/>
          <w:spacing w:val="-1"/>
          <w:sz w:val="20"/>
          <w:szCs w:val="19"/>
        </w:rPr>
      </w:pPr>
      <w:r w:rsidRPr="00313C4B">
        <w:rPr>
          <w:rFonts w:ascii="Times New Roman" w:hAnsi="Times New Roman"/>
          <w:color w:val="2B2A29"/>
          <w:spacing w:val="-1"/>
          <w:sz w:val="20"/>
          <w:szCs w:val="19"/>
        </w:rPr>
        <w:t xml:space="preserve"> </w:t>
      </w:r>
    </w:p>
    <w:p w:rsidR="005414E6" w:rsidRPr="00313C4B" w:rsidRDefault="00083169" w:rsidP="005C5C7B">
      <w:pPr>
        <w:widowControl w:val="0"/>
        <w:autoSpaceDE w:val="0"/>
        <w:autoSpaceDN w:val="0"/>
        <w:adjustRightInd w:val="0"/>
        <w:spacing w:after="0" w:line="240" w:lineRule="auto"/>
        <w:rPr>
          <w:rFonts w:ascii="Times New Roman" w:hAnsi="Times New Roman"/>
          <w:color w:val="2B2A29"/>
          <w:sz w:val="20"/>
          <w:szCs w:val="19"/>
        </w:rPr>
      </w:pPr>
      <w:r>
        <w:rPr>
          <w:rFonts w:ascii="Times New Roman" w:hAnsi="Times New Roman"/>
          <w:sz w:val="20"/>
          <w:szCs w:val="19"/>
        </w:rPr>
        <w:t>Plan</w:t>
      </w:r>
      <w:r w:rsidR="005414E6" w:rsidRPr="00313C4B">
        <w:rPr>
          <w:rFonts w:ascii="Times New Roman" w:hAnsi="Times New Roman"/>
          <w:sz w:val="20"/>
          <w:szCs w:val="19"/>
        </w:rPr>
        <w:t xml:space="preserve"> members contributed 6% of earnable compensation as required by statute until September 30, 2011. From October 1, </w:t>
      </w:r>
      <w:r w:rsidR="009376A7">
        <w:rPr>
          <w:rFonts w:ascii="Times New Roman" w:hAnsi="Times New Roman"/>
          <w:sz w:val="20"/>
          <w:szCs w:val="19"/>
        </w:rPr>
        <w:t>2011</w:t>
      </w:r>
      <w:r>
        <w:rPr>
          <w:rFonts w:ascii="Times New Roman" w:hAnsi="Times New Roman"/>
          <w:sz w:val="20"/>
          <w:szCs w:val="19"/>
        </w:rPr>
        <w:t xml:space="preserve"> to September 30, 2012, Plan</w:t>
      </w:r>
      <w:r w:rsidR="005414E6" w:rsidRPr="00313C4B">
        <w:rPr>
          <w:rFonts w:ascii="Times New Roman" w:hAnsi="Times New Roman"/>
          <w:sz w:val="20"/>
          <w:szCs w:val="19"/>
        </w:rPr>
        <w:t xml:space="preserve"> members were required by statute to contribute 8.25% of earnable compensation</w:t>
      </w:r>
      <w:r>
        <w:rPr>
          <w:rFonts w:ascii="Times New Roman" w:hAnsi="Times New Roman"/>
          <w:sz w:val="20"/>
          <w:szCs w:val="19"/>
        </w:rPr>
        <w:t>. Effective October 1, 2012, Plan</w:t>
      </w:r>
      <w:r w:rsidR="005414E6" w:rsidRPr="00313C4B">
        <w:rPr>
          <w:rFonts w:ascii="Times New Roman" w:hAnsi="Times New Roman"/>
          <w:sz w:val="20"/>
          <w:szCs w:val="19"/>
        </w:rPr>
        <w:t xml:space="preserve"> members are required by statute to contribute 8.50% of earnable compensation.</w:t>
      </w:r>
    </w:p>
    <w:p w:rsidR="00950F23" w:rsidRDefault="00950F23" w:rsidP="005C5C7B">
      <w:pPr>
        <w:widowControl w:val="0"/>
        <w:autoSpaceDE w:val="0"/>
        <w:autoSpaceDN w:val="0"/>
        <w:adjustRightInd w:val="0"/>
        <w:spacing w:after="0" w:line="240" w:lineRule="auto"/>
        <w:rPr>
          <w:rFonts w:ascii="Times New Roman" w:hAnsi="Times New Roman"/>
          <w:color w:val="2B2A29"/>
          <w:spacing w:val="-1"/>
          <w:sz w:val="20"/>
          <w:szCs w:val="19"/>
        </w:rPr>
      </w:pPr>
    </w:p>
    <w:p w:rsidR="00A26B59" w:rsidRPr="00313C4B" w:rsidRDefault="00950F23" w:rsidP="005C5C7B">
      <w:pPr>
        <w:widowControl w:val="0"/>
        <w:autoSpaceDE w:val="0"/>
        <w:autoSpaceDN w:val="0"/>
        <w:adjustRightInd w:val="0"/>
        <w:spacing w:after="0" w:line="240" w:lineRule="auto"/>
        <w:rPr>
          <w:rFonts w:ascii="Times New Roman" w:hAnsi="Times New Roman"/>
          <w:b/>
          <w:i/>
          <w:iCs/>
          <w:color w:val="2B2A29"/>
          <w:sz w:val="20"/>
          <w:szCs w:val="19"/>
        </w:rPr>
      </w:pPr>
      <w:bookmarkStart w:id="2" w:name="Pg233"/>
      <w:bookmarkEnd w:id="2"/>
      <w:r>
        <w:rPr>
          <w:rFonts w:ascii="Times New Roman" w:hAnsi="Times New Roman"/>
          <w:b/>
          <w:i/>
          <w:iCs/>
          <w:color w:val="2B2A29"/>
          <w:sz w:val="20"/>
          <w:szCs w:val="19"/>
        </w:rPr>
        <w:t>Pension Liabilities and Pension Expense</w:t>
      </w:r>
    </w:p>
    <w:p w:rsidR="00A26B59" w:rsidRPr="00313C4B" w:rsidRDefault="00A26B59" w:rsidP="005C5C7B">
      <w:pPr>
        <w:widowControl w:val="0"/>
        <w:autoSpaceDE w:val="0"/>
        <w:autoSpaceDN w:val="0"/>
        <w:adjustRightInd w:val="0"/>
        <w:spacing w:after="0" w:line="240" w:lineRule="auto"/>
        <w:jc w:val="both"/>
        <w:rPr>
          <w:rFonts w:ascii="Times New Roman" w:hAnsi="Times New Roman"/>
          <w:i/>
          <w:iCs/>
          <w:color w:val="2B2A29"/>
          <w:sz w:val="20"/>
          <w:szCs w:val="19"/>
        </w:rPr>
      </w:pPr>
    </w:p>
    <w:p w:rsidR="00950F23" w:rsidRDefault="00950F23" w:rsidP="005C5C7B">
      <w:pPr>
        <w:widowControl w:val="0"/>
        <w:autoSpaceDE w:val="0"/>
        <w:autoSpaceDN w:val="0"/>
        <w:adjustRightInd w:val="0"/>
        <w:spacing w:after="0" w:line="240" w:lineRule="auto"/>
        <w:jc w:val="both"/>
        <w:rPr>
          <w:rFonts w:ascii="Times New Roman" w:hAnsi="Times New Roman"/>
          <w:color w:val="2B2A29"/>
          <w:spacing w:val="-2"/>
          <w:sz w:val="20"/>
          <w:szCs w:val="19"/>
        </w:rPr>
      </w:pPr>
      <w:r>
        <w:rPr>
          <w:rFonts w:ascii="Times New Roman" w:hAnsi="Times New Roman"/>
          <w:color w:val="2B2A29"/>
          <w:spacing w:val="-2"/>
          <w:sz w:val="20"/>
          <w:szCs w:val="19"/>
        </w:rPr>
        <w:t>At Se</w:t>
      </w:r>
      <w:r w:rsidR="00FB5907">
        <w:rPr>
          <w:rFonts w:ascii="Times New Roman" w:hAnsi="Times New Roman"/>
          <w:color w:val="2B2A29"/>
          <w:spacing w:val="-2"/>
          <w:sz w:val="20"/>
          <w:szCs w:val="19"/>
        </w:rPr>
        <w:t>ptember 30, 2016</w:t>
      </w:r>
      <w:r w:rsidR="00576279">
        <w:rPr>
          <w:rFonts w:ascii="Times New Roman" w:hAnsi="Times New Roman"/>
          <w:color w:val="2B2A29"/>
          <w:spacing w:val="-2"/>
          <w:sz w:val="20"/>
          <w:szCs w:val="19"/>
        </w:rPr>
        <w:t xml:space="preserve"> </w:t>
      </w:r>
      <w:r w:rsidR="003A44CC">
        <w:rPr>
          <w:rFonts w:ascii="Times New Roman" w:hAnsi="Times New Roman"/>
          <w:color w:val="2B2A29"/>
          <w:spacing w:val="-2"/>
          <w:sz w:val="20"/>
          <w:szCs w:val="19"/>
        </w:rPr>
        <w:t>[E</w:t>
      </w:r>
      <w:r w:rsidR="00576279">
        <w:rPr>
          <w:rFonts w:ascii="Times New Roman" w:hAnsi="Times New Roman"/>
          <w:color w:val="2B2A29"/>
          <w:spacing w:val="-2"/>
          <w:sz w:val="20"/>
          <w:szCs w:val="19"/>
        </w:rPr>
        <w:t>mployer</w:t>
      </w:r>
      <w:r w:rsidR="00C146E6">
        <w:rPr>
          <w:rFonts w:ascii="Times New Roman" w:hAnsi="Times New Roman"/>
          <w:color w:val="2B2A29"/>
          <w:spacing w:val="-2"/>
          <w:sz w:val="20"/>
          <w:szCs w:val="19"/>
        </w:rPr>
        <w:t xml:space="preserve"> name]</w:t>
      </w:r>
      <w:r w:rsidR="00A940AE" w:rsidRPr="00313C4B">
        <w:rPr>
          <w:rFonts w:ascii="Times New Roman" w:hAnsi="Times New Roman"/>
          <w:color w:val="2B2A29"/>
          <w:spacing w:val="-2"/>
          <w:sz w:val="20"/>
          <w:szCs w:val="19"/>
        </w:rPr>
        <w:t xml:space="preserve"> </w:t>
      </w:r>
      <w:r>
        <w:rPr>
          <w:rFonts w:ascii="Times New Roman" w:hAnsi="Times New Roman"/>
          <w:color w:val="2B2A29"/>
          <w:spacing w:val="-2"/>
          <w:sz w:val="20"/>
          <w:szCs w:val="19"/>
        </w:rPr>
        <w:t>did not have a liability for a proportionate share of the net pension liability because of the related State of Alabama</w:t>
      </w:r>
      <w:r w:rsidR="00E10B6E">
        <w:rPr>
          <w:rFonts w:ascii="Times New Roman" w:hAnsi="Times New Roman"/>
          <w:color w:val="2B2A29"/>
          <w:spacing w:val="-2"/>
          <w:sz w:val="20"/>
          <w:szCs w:val="19"/>
        </w:rPr>
        <w:t xml:space="preserve"> </w:t>
      </w:r>
      <w:r w:rsidR="00C146E6">
        <w:rPr>
          <w:rFonts w:ascii="Times New Roman" w:hAnsi="Times New Roman"/>
          <w:color w:val="2B2A29"/>
          <w:spacing w:val="-2"/>
          <w:sz w:val="20"/>
          <w:szCs w:val="19"/>
        </w:rPr>
        <w:t>s</w:t>
      </w:r>
      <w:r>
        <w:rPr>
          <w:rFonts w:ascii="Times New Roman" w:hAnsi="Times New Roman"/>
          <w:color w:val="2B2A29"/>
          <w:spacing w:val="-2"/>
          <w:sz w:val="20"/>
          <w:szCs w:val="19"/>
        </w:rPr>
        <w:t>upport. The amount of the State</w:t>
      </w:r>
      <w:r w:rsidR="00C146E6">
        <w:rPr>
          <w:rFonts w:ascii="Times New Roman" w:hAnsi="Times New Roman"/>
          <w:color w:val="2B2A29"/>
          <w:spacing w:val="-2"/>
          <w:sz w:val="20"/>
          <w:szCs w:val="19"/>
        </w:rPr>
        <w:t xml:space="preserve"> of Alabama’s</w:t>
      </w:r>
      <w:r>
        <w:rPr>
          <w:rFonts w:ascii="Times New Roman" w:hAnsi="Times New Roman"/>
          <w:color w:val="2B2A29"/>
          <w:spacing w:val="-2"/>
          <w:sz w:val="20"/>
          <w:szCs w:val="19"/>
        </w:rPr>
        <w:t xml:space="preserve"> proportionate share of net pension liability associated with </w:t>
      </w:r>
      <w:r w:rsidR="003A44CC">
        <w:rPr>
          <w:rFonts w:ascii="Times New Roman" w:hAnsi="Times New Roman"/>
          <w:color w:val="2B2A29"/>
          <w:spacing w:val="-2"/>
          <w:sz w:val="20"/>
          <w:szCs w:val="19"/>
        </w:rPr>
        <w:t>[E</w:t>
      </w:r>
      <w:r w:rsidR="00C146E6">
        <w:rPr>
          <w:rFonts w:ascii="Times New Roman" w:hAnsi="Times New Roman"/>
          <w:color w:val="2B2A29"/>
          <w:spacing w:val="-2"/>
          <w:sz w:val="20"/>
          <w:szCs w:val="19"/>
        </w:rPr>
        <w:t>mployer name]</w:t>
      </w:r>
      <w:r>
        <w:rPr>
          <w:rFonts w:ascii="Times New Roman" w:hAnsi="Times New Roman"/>
          <w:color w:val="2B2A29"/>
          <w:spacing w:val="-2"/>
          <w:sz w:val="20"/>
          <w:szCs w:val="19"/>
        </w:rPr>
        <w:t xml:space="preserve"> is as follows:</w:t>
      </w:r>
    </w:p>
    <w:p w:rsidR="00950F23" w:rsidRDefault="00950F23" w:rsidP="00950F23">
      <w:pPr>
        <w:widowControl w:val="0"/>
        <w:autoSpaceDE w:val="0"/>
        <w:autoSpaceDN w:val="0"/>
        <w:adjustRightInd w:val="0"/>
        <w:spacing w:after="0" w:line="240" w:lineRule="auto"/>
        <w:jc w:val="both"/>
        <w:rPr>
          <w:rFonts w:ascii="Times New Roman" w:hAnsi="Times New Roman"/>
          <w:color w:val="2B2A29"/>
          <w:spacing w:val="-2"/>
          <w:sz w:val="20"/>
          <w:szCs w:val="19"/>
        </w:rPr>
      </w:pPr>
    </w:p>
    <w:p w:rsidR="00950F23" w:rsidRDefault="00950F23" w:rsidP="00950F23">
      <w:pPr>
        <w:widowControl w:val="0"/>
        <w:autoSpaceDE w:val="0"/>
        <w:autoSpaceDN w:val="0"/>
        <w:adjustRightInd w:val="0"/>
        <w:spacing w:after="0" w:line="240" w:lineRule="auto"/>
        <w:jc w:val="both"/>
        <w:rPr>
          <w:rFonts w:ascii="Times New Roman" w:hAnsi="Times New Roman"/>
          <w:color w:val="2B2A29"/>
          <w:spacing w:val="-2"/>
          <w:sz w:val="20"/>
          <w:szCs w:val="19"/>
        </w:rPr>
      </w:pP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t>State of Alabama’</w:t>
      </w:r>
      <w:r w:rsidR="00063694">
        <w:rPr>
          <w:rFonts w:ascii="Times New Roman" w:hAnsi="Times New Roman"/>
          <w:color w:val="2B2A29"/>
          <w:spacing w:val="-2"/>
          <w:sz w:val="20"/>
          <w:szCs w:val="19"/>
        </w:rPr>
        <w:t>s proportionate share of the n</w:t>
      </w:r>
      <w:r>
        <w:rPr>
          <w:rFonts w:ascii="Times New Roman" w:hAnsi="Times New Roman"/>
          <w:color w:val="2B2A29"/>
          <w:spacing w:val="-2"/>
          <w:sz w:val="20"/>
          <w:szCs w:val="19"/>
        </w:rPr>
        <w:t xml:space="preserve">et </w:t>
      </w:r>
    </w:p>
    <w:p w:rsidR="00A26B59" w:rsidRPr="00313C4B" w:rsidRDefault="00950F23" w:rsidP="00950F23">
      <w:pPr>
        <w:widowControl w:val="0"/>
        <w:autoSpaceDE w:val="0"/>
        <w:autoSpaceDN w:val="0"/>
        <w:adjustRightInd w:val="0"/>
        <w:spacing w:after="0" w:line="240" w:lineRule="auto"/>
        <w:jc w:val="both"/>
        <w:rPr>
          <w:rFonts w:ascii="Times New Roman" w:hAnsi="Times New Roman"/>
          <w:color w:val="2B2A29"/>
          <w:spacing w:val="-2"/>
          <w:sz w:val="20"/>
          <w:szCs w:val="19"/>
        </w:rPr>
      </w:pP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sidR="00063694">
        <w:rPr>
          <w:rFonts w:ascii="Times New Roman" w:hAnsi="Times New Roman"/>
          <w:color w:val="2B2A29"/>
          <w:spacing w:val="-2"/>
          <w:sz w:val="20"/>
          <w:szCs w:val="19"/>
        </w:rPr>
        <w:t>pension l</w:t>
      </w:r>
      <w:r>
        <w:rPr>
          <w:rFonts w:ascii="Times New Roman" w:hAnsi="Times New Roman"/>
          <w:color w:val="2B2A29"/>
          <w:spacing w:val="-2"/>
          <w:sz w:val="20"/>
          <w:szCs w:val="19"/>
        </w:rPr>
        <w:t>i</w:t>
      </w:r>
      <w:r w:rsidR="00C146E6">
        <w:rPr>
          <w:rFonts w:ascii="Times New Roman" w:hAnsi="Times New Roman"/>
          <w:color w:val="2B2A29"/>
          <w:spacing w:val="-2"/>
          <w:sz w:val="20"/>
          <w:szCs w:val="19"/>
        </w:rPr>
        <w:t>ability associated with</w:t>
      </w:r>
      <w:r w:rsidR="003A44CC">
        <w:rPr>
          <w:rFonts w:ascii="Times New Roman" w:hAnsi="Times New Roman"/>
          <w:color w:val="2B2A29"/>
          <w:spacing w:val="-2"/>
          <w:sz w:val="20"/>
          <w:szCs w:val="19"/>
        </w:rPr>
        <w:t xml:space="preserve"> [E</w:t>
      </w:r>
      <w:r w:rsidR="00C146E6">
        <w:rPr>
          <w:rFonts w:ascii="Times New Roman" w:hAnsi="Times New Roman"/>
          <w:color w:val="2B2A29"/>
          <w:spacing w:val="-2"/>
          <w:sz w:val="20"/>
          <w:szCs w:val="19"/>
        </w:rPr>
        <w:t>mployer name]</w:t>
      </w:r>
      <w:r>
        <w:rPr>
          <w:rFonts w:ascii="Times New Roman" w:hAnsi="Times New Roman"/>
          <w:color w:val="2B2A29"/>
          <w:spacing w:val="-2"/>
          <w:sz w:val="20"/>
          <w:szCs w:val="19"/>
        </w:rPr>
        <w:tab/>
      </w:r>
      <w:r w:rsidR="003A44CC">
        <w:rPr>
          <w:rFonts w:ascii="Times New Roman" w:hAnsi="Times New Roman"/>
          <w:color w:val="2B2A29"/>
          <w:spacing w:val="-2"/>
          <w:sz w:val="20"/>
          <w:szCs w:val="19"/>
        </w:rPr>
        <w:t xml:space="preserve">                 </w:t>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sidRPr="003A44CC">
        <w:rPr>
          <w:rFonts w:ascii="Times New Roman" w:hAnsi="Times New Roman"/>
          <w:color w:val="2B2A29"/>
          <w:spacing w:val="-2"/>
          <w:sz w:val="20"/>
          <w:szCs w:val="19"/>
        </w:rPr>
        <w:t>$</w:t>
      </w:r>
      <w:r w:rsidR="00C146E6">
        <w:rPr>
          <w:rFonts w:ascii="Times New Roman" w:hAnsi="Times New Roman"/>
          <w:color w:val="2B2A29"/>
          <w:spacing w:val="-2"/>
          <w:sz w:val="20"/>
          <w:szCs w:val="19"/>
          <w:u w:val="double"/>
        </w:rPr>
        <w:t>[See</w:t>
      </w:r>
      <w:r w:rsidRPr="00950F23">
        <w:rPr>
          <w:rFonts w:ascii="Times New Roman" w:hAnsi="Times New Roman"/>
          <w:color w:val="2B2A29"/>
          <w:spacing w:val="-2"/>
          <w:sz w:val="20"/>
          <w:szCs w:val="19"/>
          <w:u w:val="double"/>
        </w:rPr>
        <w:t xml:space="preserve"> </w:t>
      </w:r>
      <w:r w:rsidR="00E10B6E">
        <w:rPr>
          <w:rFonts w:ascii="Times New Roman" w:hAnsi="Times New Roman"/>
          <w:color w:val="2B2A29"/>
          <w:spacing w:val="-2"/>
          <w:sz w:val="20"/>
          <w:szCs w:val="19"/>
          <w:u w:val="double"/>
        </w:rPr>
        <w:t>Employer’s Valuation</w:t>
      </w:r>
      <w:r w:rsidR="00C146E6">
        <w:rPr>
          <w:rFonts w:ascii="Times New Roman" w:hAnsi="Times New Roman"/>
          <w:color w:val="2B2A29"/>
          <w:spacing w:val="-2"/>
          <w:sz w:val="20"/>
          <w:szCs w:val="19"/>
          <w:u w:val="double"/>
        </w:rPr>
        <w:t>]</w:t>
      </w:r>
      <w:r w:rsidR="00A940AE" w:rsidRPr="00313C4B">
        <w:rPr>
          <w:rFonts w:ascii="Times New Roman" w:hAnsi="Times New Roman"/>
          <w:color w:val="2B2A29"/>
          <w:spacing w:val="-2"/>
          <w:sz w:val="20"/>
          <w:szCs w:val="19"/>
        </w:rPr>
        <w:t xml:space="preserve"> </w:t>
      </w: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Default="00A26B59" w:rsidP="005C5C7B">
      <w:pPr>
        <w:widowControl w:val="0"/>
        <w:autoSpaceDE w:val="0"/>
        <w:autoSpaceDN w:val="0"/>
        <w:adjustRightInd w:val="0"/>
        <w:spacing w:after="0" w:line="240" w:lineRule="auto"/>
        <w:rPr>
          <w:rFonts w:ascii="Times New Roman" w:hAnsi="Times New Roman"/>
          <w:color w:val="2B2A29"/>
          <w:spacing w:val="-2"/>
          <w:sz w:val="20"/>
          <w:szCs w:val="19"/>
        </w:rPr>
      </w:pPr>
    </w:p>
    <w:p w:rsidR="00950F23" w:rsidRDefault="00950F23" w:rsidP="005C5C7B">
      <w:pPr>
        <w:widowControl w:val="0"/>
        <w:autoSpaceDE w:val="0"/>
        <w:autoSpaceDN w:val="0"/>
        <w:adjustRightInd w:val="0"/>
        <w:spacing w:after="0" w:line="240" w:lineRule="auto"/>
        <w:rPr>
          <w:rFonts w:ascii="Times New Roman" w:hAnsi="Times New Roman"/>
          <w:color w:val="2B2A29"/>
          <w:spacing w:val="-2"/>
          <w:sz w:val="20"/>
          <w:szCs w:val="19"/>
        </w:rPr>
      </w:pPr>
      <w:r>
        <w:rPr>
          <w:rFonts w:ascii="Times New Roman" w:hAnsi="Times New Roman"/>
          <w:color w:val="2B2A29"/>
          <w:spacing w:val="-2"/>
          <w:sz w:val="20"/>
          <w:szCs w:val="19"/>
        </w:rPr>
        <w:t>The net pension liability was m</w:t>
      </w:r>
      <w:r w:rsidR="00FB5907">
        <w:rPr>
          <w:rFonts w:ascii="Times New Roman" w:hAnsi="Times New Roman"/>
          <w:color w:val="2B2A29"/>
          <w:spacing w:val="-2"/>
          <w:sz w:val="20"/>
          <w:szCs w:val="19"/>
        </w:rPr>
        <w:t>easured as of September 30, 2015</w:t>
      </w:r>
      <w:r>
        <w:rPr>
          <w:rFonts w:ascii="Times New Roman" w:hAnsi="Times New Roman"/>
          <w:color w:val="2B2A29"/>
          <w:spacing w:val="-2"/>
          <w:sz w:val="20"/>
          <w:szCs w:val="19"/>
        </w:rPr>
        <w:t>. The total pension liability is based on the actuarial valuation as of Septe</w:t>
      </w:r>
      <w:r w:rsidR="00FB5907">
        <w:rPr>
          <w:rFonts w:ascii="Times New Roman" w:hAnsi="Times New Roman"/>
          <w:color w:val="2B2A29"/>
          <w:spacing w:val="-2"/>
          <w:sz w:val="20"/>
          <w:szCs w:val="19"/>
        </w:rPr>
        <w:t>mber 30, 2014</w:t>
      </w:r>
      <w:r w:rsidR="005C5C7B">
        <w:rPr>
          <w:rFonts w:ascii="Times New Roman" w:hAnsi="Times New Roman"/>
          <w:color w:val="2B2A29"/>
          <w:spacing w:val="-2"/>
          <w:sz w:val="20"/>
          <w:szCs w:val="19"/>
        </w:rPr>
        <w:t>. An expected total pension li</w:t>
      </w:r>
      <w:r w:rsidR="00FB5907">
        <w:rPr>
          <w:rFonts w:ascii="Times New Roman" w:hAnsi="Times New Roman"/>
          <w:color w:val="2B2A29"/>
          <w:spacing w:val="-2"/>
          <w:sz w:val="20"/>
          <w:szCs w:val="19"/>
        </w:rPr>
        <w:t>ability as of September 30, 2015</w:t>
      </w:r>
      <w:r w:rsidR="005C5C7B">
        <w:rPr>
          <w:rFonts w:ascii="Times New Roman" w:hAnsi="Times New Roman"/>
          <w:color w:val="2B2A29"/>
          <w:spacing w:val="-2"/>
          <w:sz w:val="20"/>
          <w:szCs w:val="19"/>
        </w:rPr>
        <w:t xml:space="preserve"> was determined using standard roll-forward techniques. The State</w:t>
      </w:r>
      <w:r w:rsidR="00C146E6">
        <w:rPr>
          <w:rFonts w:ascii="Times New Roman" w:hAnsi="Times New Roman"/>
          <w:color w:val="2B2A29"/>
          <w:spacing w:val="-2"/>
          <w:sz w:val="20"/>
          <w:szCs w:val="19"/>
        </w:rPr>
        <w:t xml:space="preserve"> of Alabama’s </w:t>
      </w:r>
      <w:r w:rsidR="005C5C7B">
        <w:rPr>
          <w:rFonts w:ascii="Times New Roman" w:hAnsi="Times New Roman"/>
          <w:color w:val="2B2A29"/>
          <w:spacing w:val="-2"/>
          <w:sz w:val="20"/>
          <w:szCs w:val="19"/>
        </w:rPr>
        <w:t>proportion of the net pension li</w:t>
      </w:r>
      <w:r w:rsidR="00767766">
        <w:rPr>
          <w:rFonts w:ascii="Times New Roman" w:hAnsi="Times New Roman"/>
          <w:color w:val="2B2A29"/>
          <w:spacing w:val="-2"/>
          <w:sz w:val="20"/>
          <w:szCs w:val="19"/>
        </w:rPr>
        <w:t xml:space="preserve">ability associated with </w:t>
      </w:r>
      <w:r w:rsidR="003A44CC">
        <w:rPr>
          <w:rFonts w:ascii="Times New Roman" w:hAnsi="Times New Roman"/>
          <w:color w:val="2B2A29"/>
          <w:spacing w:val="-2"/>
          <w:sz w:val="20"/>
          <w:szCs w:val="19"/>
        </w:rPr>
        <w:t>[E</w:t>
      </w:r>
      <w:r w:rsidR="00C146E6">
        <w:rPr>
          <w:rFonts w:ascii="Times New Roman" w:hAnsi="Times New Roman"/>
          <w:color w:val="2B2A29"/>
          <w:spacing w:val="-2"/>
          <w:sz w:val="20"/>
          <w:szCs w:val="19"/>
        </w:rPr>
        <w:t>mployer name]</w:t>
      </w:r>
      <w:r w:rsidR="005C5C7B">
        <w:rPr>
          <w:rFonts w:ascii="Times New Roman" w:hAnsi="Times New Roman"/>
          <w:color w:val="2B2A29"/>
          <w:spacing w:val="-2"/>
          <w:sz w:val="20"/>
          <w:szCs w:val="19"/>
        </w:rPr>
        <w:t xml:space="preserve"> was based on actuarially determined contributions paid by the State </w:t>
      </w:r>
      <w:r w:rsidR="00E10B6E">
        <w:rPr>
          <w:rFonts w:ascii="Times New Roman" w:hAnsi="Times New Roman"/>
          <w:color w:val="2B2A29"/>
          <w:spacing w:val="-2"/>
          <w:sz w:val="20"/>
          <w:szCs w:val="19"/>
        </w:rPr>
        <w:t xml:space="preserve">of Alabama </w:t>
      </w:r>
      <w:r w:rsidR="005C5C7B">
        <w:rPr>
          <w:rFonts w:ascii="Times New Roman" w:hAnsi="Times New Roman"/>
          <w:color w:val="2B2A29"/>
          <w:spacing w:val="-2"/>
          <w:sz w:val="20"/>
          <w:szCs w:val="19"/>
        </w:rPr>
        <w:t>during t</w:t>
      </w:r>
      <w:r w:rsidR="003A44CC">
        <w:rPr>
          <w:rFonts w:ascii="Times New Roman" w:hAnsi="Times New Roman"/>
          <w:color w:val="2B2A29"/>
          <w:spacing w:val="-2"/>
          <w:sz w:val="20"/>
          <w:szCs w:val="19"/>
        </w:rPr>
        <w:t>he fiscal year ended September 3</w:t>
      </w:r>
      <w:r w:rsidR="00FB5907">
        <w:rPr>
          <w:rFonts w:ascii="Times New Roman" w:hAnsi="Times New Roman"/>
          <w:color w:val="2B2A29"/>
          <w:spacing w:val="-2"/>
          <w:sz w:val="20"/>
          <w:szCs w:val="19"/>
        </w:rPr>
        <w:t>0, 2015</w:t>
      </w:r>
      <w:r w:rsidR="005C5C7B">
        <w:rPr>
          <w:rFonts w:ascii="Times New Roman" w:hAnsi="Times New Roman"/>
          <w:color w:val="2B2A29"/>
          <w:spacing w:val="-2"/>
          <w:sz w:val="20"/>
          <w:szCs w:val="19"/>
        </w:rPr>
        <w:t xml:space="preserve">. </w:t>
      </w:r>
    </w:p>
    <w:p w:rsidR="005C5C7B" w:rsidRDefault="005C5C7B" w:rsidP="005C5C7B">
      <w:pPr>
        <w:widowControl w:val="0"/>
        <w:autoSpaceDE w:val="0"/>
        <w:autoSpaceDN w:val="0"/>
        <w:adjustRightInd w:val="0"/>
        <w:spacing w:after="0" w:line="240" w:lineRule="auto"/>
        <w:rPr>
          <w:rFonts w:ascii="Times New Roman" w:hAnsi="Times New Roman"/>
          <w:color w:val="2B2A29"/>
          <w:spacing w:val="-2"/>
          <w:sz w:val="20"/>
          <w:szCs w:val="19"/>
        </w:rPr>
      </w:pPr>
    </w:p>
    <w:p w:rsidR="005C5C7B" w:rsidRDefault="005C5C7B" w:rsidP="005C5C7B">
      <w:pPr>
        <w:widowControl w:val="0"/>
        <w:autoSpaceDE w:val="0"/>
        <w:autoSpaceDN w:val="0"/>
        <w:adjustRightInd w:val="0"/>
        <w:spacing w:after="0" w:line="240" w:lineRule="auto"/>
        <w:rPr>
          <w:rFonts w:ascii="Times New Roman" w:hAnsi="Times New Roman"/>
          <w:color w:val="2B2A29"/>
          <w:spacing w:val="-2"/>
          <w:sz w:val="20"/>
          <w:szCs w:val="19"/>
        </w:rPr>
      </w:pPr>
      <w:r>
        <w:rPr>
          <w:rFonts w:ascii="Times New Roman" w:hAnsi="Times New Roman"/>
          <w:color w:val="2B2A29"/>
          <w:spacing w:val="-2"/>
          <w:sz w:val="20"/>
          <w:szCs w:val="19"/>
        </w:rPr>
        <w:t>For the year en</w:t>
      </w:r>
      <w:r w:rsidR="00FB5907">
        <w:rPr>
          <w:rFonts w:ascii="Times New Roman" w:hAnsi="Times New Roman"/>
          <w:color w:val="2B2A29"/>
          <w:spacing w:val="-2"/>
          <w:sz w:val="20"/>
          <w:szCs w:val="19"/>
        </w:rPr>
        <w:t>ded September 30, 2016</w:t>
      </w:r>
      <w:r w:rsidR="00767766">
        <w:rPr>
          <w:rFonts w:ascii="Times New Roman" w:hAnsi="Times New Roman"/>
          <w:color w:val="2B2A29"/>
          <w:spacing w:val="-2"/>
          <w:sz w:val="20"/>
          <w:szCs w:val="19"/>
        </w:rPr>
        <w:t>,</w:t>
      </w:r>
      <w:r w:rsidR="00576279">
        <w:rPr>
          <w:rFonts w:ascii="Times New Roman" w:hAnsi="Times New Roman"/>
          <w:color w:val="2B2A29"/>
          <w:spacing w:val="-2"/>
          <w:sz w:val="20"/>
          <w:szCs w:val="19"/>
        </w:rPr>
        <w:t xml:space="preserve"> </w:t>
      </w:r>
      <w:r w:rsidR="003A44CC">
        <w:rPr>
          <w:rFonts w:ascii="Times New Roman" w:hAnsi="Times New Roman"/>
          <w:color w:val="2B2A29"/>
          <w:spacing w:val="-2"/>
          <w:sz w:val="20"/>
          <w:szCs w:val="19"/>
        </w:rPr>
        <w:t>[E</w:t>
      </w:r>
      <w:r w:rsidR="00C146E6">
        <w:rPr>
          <w:rFonts w:ascii="Times New Roman" w:hAnsi="Times New Roman"/>
          <w:color w:val="2B2A29"/>
          <w:spacing w:val="-2"/>
          <w:sz w:val="20"/>
          <w:szCs w:val="19"/>
        </w:rPr>
        <w:t>mployer name]</w:t>
      </w:r>
      <w:r>
        <w:rPr>
          <w:rFonts w:ascii="Times New Roman" w:hAnsi="Times New Roman"/>
          <w:color w:val="2B2A29"/>
          <w:spacing w:val="-2"/>
          <w:sz w:val="20"/>
          <w:szCs w:val="19"/>
        </w:rPr>
        <w:t xml:space="preserve"> recognized pension expense of $</w:t>
      </w:r>
      <w:r w:rsidR="00E10B6E">
        <w:rPr>
          <w:rFonts w:ascii="Times New Roman" w:hAnsi="Times New Roman"/>
          <w:color w:val="2B2A29"/>
          <w:spacing w:val="-2"/>
          <w:sz w:val="20"/>
          <w:szCs w:val="19"/>
        </w:rPr>
        <w:t>[See Employer’s Valuation</w:t>
      </w:r>
      <w:r w:rsidR="00F16F07">
        <w:rPr>
          <w:rFonts w:ascii="Times New Roman" w:hAnsi="Times New Roman"/>
          <w:color w:val="2B2A29"/>
          <w:spacing w:val="-2"/>
          <w:sz w:val="20"/>
          <w:szCs w:val="19"/>
        </w:rPr>
        <w:t xml:space="preserve"> (a)</w:t>
      </w:r>
      <w:r w:rsidR="00C146E6">
        <w:rPr>
          <w:rFonts w:ascii="Times New Roman" w:hAnsi="Times New Roman"/>
          <w:color w:val="2B2A29"/>
          <w:spacing w:val="-2"/>
          <w:sz w:val="20"/>
          <w:szCs w:val="19"/>
        </w:rPr>
        <w:t xml:space="preserve">] </w:t>
      </w:r>
      <w:r>
        <w:rPr>
          <w:rFonts w:ascii="Times New Roman" w:hAnsi="Times New Roman"/>
          <w:color w:val="2B2A29"/>
          <w:spacing w:val="-2"/>
          <w:sz w:val="20"/>
          <w:szCs w:val="19"/>
        </w:rPr>
        <w:t>and revenue of $</w:t>
      </w:r>
      <w:r w:rsidR="00E10B6E">
        <w:rPr>
          <w:rFonts w:ascii="Times New Roman" w:hAnsi="Times New Roman"/>
          <w:color w:val="2B2A29"/>
          <w:spacing w:val="-2"/>
          <w:sz w:val="20"/>
          <w:szCs w:val="19"/>
        </w:rPr>
        <w:t>[See Employer’s Valuation</w:t>
      </w:r>
      <w:r w:rsidR="00F16F07">
        <w:rPr>
          <w:rFonts w:ascii="Times New Roman" w:hAnsi="Times New Roman"/>
          <w:color w:val="2B2A29"/>
          <w:spacing w:val="-2"/>
          <w:sz w:val="20"/>
          <w:szCs w:val="19"/>
        </w:rPr>
        <w:t xml:space="preserve"> (b)</w:t>
      </w:r>
      <w:r w:rsidR="00C146E6">
        <w:rPr>
          <w:rFonts w:ascii="Times New Roman" w:hAnsi="Times New Roman"/>
          <w:color w:val="2B2A29"/>
          <w:spacing w:val="-2"/>
          <w:sz w:val="20"/>
          <w:szCs w:val="19"/>
        </w:rPr>
        <w:t xml:space="preserve">] </w:t>
      </w:r>
      <w:r>
        <w:rPr>
          <w:rFonts w:ascii="Times New Roman" w:hAnsi="Times New Roman"/>
          <w:color w:val="2B2A29"/>
          <w:spacing w:val="-2"/>
          <w:sz w:val="20"/>
          <w:szCs w:val="19"/>
        </w:rPr>
        <w:t>for aid provided by the State of Alabama.</w:t>
      </w:r>
    </w:p>
    <w:p w:rsidR="005C5C7B" w:rsidRDefault="005C5C7B" w:rsidP="005C5C7B">
      <w:pPr>
        <w:widowControl w:val="0"/>
        <w:autoSpaceDE w:val="0"/>
        <w:autoSpaceDN w:val="0"/>
        <w:adjustRightInd w:val="0"/>
        <w:spacing w:after="0" w:line="240" w:lineRule="auto"/>
        <w:rPr>
          <w:rFonts w:ascii="Times New Roman" w:hAnsi="Times New Roman"/>
          <w:color w:val="2B2A29"/>
          <w:spacing w:val="-2"/>
          <w:sz w:val="20"/>
          <w:szCs w:val="19"/>
        </w:rPr>
      </w:pPr>
    </w:p>
    <w:p w:rsidR="005414E6" w:rsidRPr="00313C4B" w:rsidRDefault="005414E6" w:rsidP="005C5C7B">
      <w:pPr>
        <w:widowControl w:val="0"/>
        <w:autoSpaceDE w:val="0"/>
        <w:autoSpaceDN w:val="0"/>
        <w:adjustRightInd w:val="0"/>
        <w:spacing w:after="0" w:line="240" w:lineRule="auto"/>
        <w:jc w:val="both"/>
        <w:rPr>
          <w:rFonts w:ascii="Times New Roman" w:hAnsi="Times New Roman"/>
          <w:b/>
          <w:i/>
          <w:iCs/>
          <w:color w:val="2B2A29"/>
          <w:spacing w:val="2"/>
          <w:sz w:val="20"/>
          <w:szCs w:val="19"/>
        </w:rPr>
      </w:pPr>
      <w:bookmarkStart w:id="3" w:name="Pg235"/>
      <w:bookmarkEnd w:id="3"/>
      <w:r w:rsidRPr="00313C4B">
        <w:rPr>
          <w:rFonts w:ascii="Times New Roman" w:hAnsi="Times New Roman"/>
          <w:b/>
          <w:i/>
          <w:iCs/>
          <w:color w:val="2B2A29"/>
          <w:spacing w:val="2"/>
          <w:sz w:val="20"/>
          <w:szCs w:val="19"/>
        </w:rPr>
        <w:t>Actuarial assumptions</w:t>
      </w:r>
    </w:p>
    <w:p w:rsidR="005414E6" w:rsidRPr="00313C4B" w:rsidRDefault="005414E6" w:rsidP="005C5C7B">
      <w:pPr>
        <w:widowControl w:val="0"/>
        <w:autoSpaceDE w:val="0"/>
        <w:autoSpaceDN w:val="0"/>
        <w:adjustRightInd w:val="0"/>
        <w:spacing w:after="0" w:line="240" w:lineRule="auto"/>
        <w:jc w:val="both"/>
        <w:rPr>
          <w:rFonts w:ascii="Times New Roman" w:hAnsi="Times New Roman"/>
          <w:b/>
          <w:color w:val="2B2A29"/>
          <w:spacing w:val="2"/>
          <w:sz w:val="20"/>
          <w:szCs w:val="19"/>
        </w:rPr>
      </w:pPr>
    </w:p>
    <w:p w:rsidR="005414E6" w:rsidRPr="00313C4B" w:rsidRDefault="005414E6" w:rsidP="005C5C7B">
      <w:pPr>
        <w:pStyle w:val="Default"/>
        <w:jc w:val="both"/>
        <w:rPr>
          <w:sz w:val="20"/>
          <w:szCs w:val="19"/>
        </w:rPr>
      </w:pPr>
      <w:r w:rsidRPr="00313C4B">
        <w:rPr>
          <w:sz w:val="20"/>
          <w:szCs w:val="19"/>
        </w:rPr>
        <w:t>The total pension liability was determined by an actuarial va</w:t>
      </w:r>
      <w:r w:rsidR="00FB5907">
        <w:rPr>
          <w:sz w:val="20"/>
          <w:szCs w:val="19"/>
        </w:rPr>
        <w:t>luation as of September 30, 2014</w:t>
      </w:r>
      <w:r w:rsidRPr="00313C4B">
        <w:rPr>
          <w:sz w:val="20"/>
          <w:szCs w:val="19"/>
        </w:rPr>
        <w:t xml:space="preserve">, using the following actuarial assumptions, applied to all periods included in the measurement: </w:t>
      </w:r>
    </w:p>
    <w:p w:rsidR="00950F23" w:rsidRDefault="005414E6" w:rsidP="00A940AE">
      <w:pPr>
        <w:pStyle w:val="Default"/>
        <w:rPr>
          <w:sz w:val="20"/>
          <w:szCs w:val="19"/>
        </w:rPr>
      </w:pP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p>
    <w:p w:rsidR="00950F23" w:rsidRDefault="005414E6" w:rsidP="00950F23">
      <w:pPr>
        <w:pStyle w:val="Default"/>
        <w:ind w:left="3040" w:firstLine="80"/>
        <w:rPr>
          <w:sz w:val="20"/>
          <w:szCs w:val="19"/>
        </w:rPr>
      </w:pPr>
      <w:r w:rsidRPr="00DA36D2">
        <w:rPr>
          <w:rFonts w:eastAsia="Calibri"/>
          <w:sz w:val="20"/>
          <w:szCs w:val="19"/>
        </w:rPr>
        <w:t>Inflation</w:t>
      </w:r>
      <w:r w:rsidRPr="00DA36D2">
        <w:rPr>
          <w:rFonts w:eastAsia="Calibri"/>
          <w:sz w:val="20"/>
          <w:szCs w:val="19"/>
        </w:rPr>
        <w:tab/>
      </w:r>
      <w:r w:rsidRPr="00DA36D2">
        <w:rPr>
          <w:rFonts w:eastAsia="Calibri"/>
          <w:sz w:val="20"/>
          <w:szCs w:val="19"/>
        </w:rPr>
        <w:tab/>
      </w:r>
      <w:r w:rsidRPr="00DA36D2">
        <w:rPr>
          <w:rFonts w:eastAsia="Calibri"/>
          <w:sz w:val="20"/>
          <w:szCs w:val="19"/>
        </w:rPr>
        <w:tab/>
      </w:r>
      <w:r w:rsidRPr="00DA36D2">
        <w:rPr>
          <w:rFonts w:eastAsia="Calibri"/>
          <w:sz w:val="20"/>
          <w:szCs w:val="19"/>
        </w:rPr>
        <w:tab/>
      </w:r>
      <w:r w:rsidRPr="00DA36D2">
        <w:rPr>
          <w:rFonts w:eastAsia="Calibri"/>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005C5C7B">
        <w:rPr>
          <w:sz w:val="20"/>
          <w:szCs w:val="19"/>
        </w:rPr>
        <w:tab/>
      </w:r>
      <w:r w:rsidR="005C5C7B">
        <w:rPr>
          <w:sz w:val="20"/>
          <w:szCs w:val="19"/>
        </w:rPr>
        <w:tab/>
      </w:r>
      <w:r w:rsidR="00083169">
        <w:rPr>
          <w:sz w:val="20"/>
          <w:szCs w:val="19"/>
        </w:rPr>
        <w:tab/>
      </w:r>
      <w:r w:rsidR="00083169">
        <w:rPr>
          <w:sz w:val="20"/>
          <w:szCs w:val="19"/>
        </w:rPr>
        <w:tab/>
      </w:r>
      <w:r w:rsidR="00083169">
        <w:rPr>
          <w:sz w:val="20"/>
          <w:szCs w:val="19"/>
        </w:rPr>
        <w:tab/>
      </w:r>
      <w:r w:rsidRPr="00DA36D2">
        <w:rPr>
          <w:rFonts w:eastAsia="Calibri"/>
          <w:sz w:val="20"/>
          <w:szCs w:val="19"/>
        </w:rPr>
        <w:t>3.00%</w:t>
      </w:r>
    </w:p>
    <w:p w:rsidR="005414E6" w:rsidRPr="00DA36D2" w:rsidRDefault="005414E6" w:rsidP="00950F23">
      <w:pPr>
        <w:pStyle w:val="Default"/>
        <w:ind w:left="3040" w:firstLine="80"/>
        <w:rPr>
          <w:rFonts w:eastAsia="Calibri"/>
          <w:sz w:val="20"/>
          <w:szCs w:val="19"/>
        </w:rPr>
      </w:pPr>
      <w:r w:rsidRPr="00DA36D2">
        <w:rPr>
          <w:rFonts w:eastAsia="Calibri"/>
          <w:sz w:val="20"/>
          <w:szCs w:val="19"/>
        </w:rPr>
        <w:t>Investment rate of return*</w:t>
      </w:r>
      <w:r w:rsidRPr="00DA36D2">
        <w:rPr>
          <w:rFonts w:eastAsia="Calibri"/>
          <w:sz w:val="20"/>
          <w:szCs w:val="19"/>
        </w:rPr>
        <w:tab/>
      </w:r>
      <w:r w:rsidRPr="00DA36D2">
        <w:rPr>
          <w:rFonts w:eastAsia="Calibri"/>
          <w:sz w:val="20"/>
          <w:szCs w:val="19"/>
        </w:rPr>
        <w:tab/>
      </w:r>
      <w:r w:rsidR="00083169">
        <w:rPr>
          <w:sz w:val="20"/>
          <w:szCs w:val="19"/>
        </w:rPr>
        <w:tab/>
      </w:r>
      <w:r w:rsidR="00083169">
        <w:rPr>
          <w:sz w:val="20"/>
          <w:szCs w:val="19"/>
        </w:rPr>
        <w:tab/>
      </w:r>
      <w:r w:rsidR="00083169">
        <w:rPr>
          <w:sz w:val="20"/>
          <w:szCs w:val="19"/>
        </w:rPr>
        <w:tab/>
      </w:r>
      <w:r w:rsidRPr="00DA36D2">
        <w:rPr>
          <w:rFonts w:eastAsia="Calibri"/>
          <w:sz w:val="20"/>
          <w:szCs w:val="19"/>
        </w:rPr>
        <w:tab/>
        <w:t>8.00%</w:t>
      </w:r>
    </w:p>
    <w:p w:rsidR="005414E6" w:rsidRPr="00DA36D2" w:rsidRDefault="005414E6" w:rsidP="00950F23">
      <w:pPr>
        <w:pStyle w:val="Default"/>
        <w:ind w:left="3120"/>
        <w:rPr>
          <w:rFonts w:eastAsia="Calibri"/>
          <w:sz w:val="20"/>
          <w:szCs w:val="19"/>
        </w:rPr>
      </w:pPr>
      <w:r w:rsidRPr="00DA36D2">
        <w:rPr>
          <w:rFonts w:eastAsia="Calibri"/>
          <w:sz w:val="20"/>
          <w:szCs w:val="19"/>
        </w:rPr>
        <w:t>Projected salary increases</w:t>
      </w:r>
      <w:r w:rsidRPr="00DA36D2">
        <w:rPr>
          <w:rFonts w:eastAsia="Calibri"/>
          <w:sz w:val="20"/>
          <w:szCs w:val="19"/>
        </w:rPr>
        <w:tab/>
      </w:r>
      <w:r w:rsidRPr="00DA36D2">
        <w:rPr>
          <w:rFonts w:eastAsia="Calibri"/>
          <w:sz w:val="20"/>
          <w:szCs w:val="19"/>
        </w:rPr>
        <w:tab/>
      </w:r>
      <w:r w:rsidRPr="00DA36D2">
        <w:rPr>
          <w:rFonts w:eastAsia="Calibri"/>
          <w:sz w:val="20"/>
          <w:szCs w:val="19"/>
        </w:rPr>
        <w:tab/>
      </w:r>
      <w:r w:rsidR="005C5C7B">
        <w:rPr>
          <w:sz w:val="20"/>
          <w:szCs w:val="19"/>
        </w:rPr>
        <w:tab/>
      </w:r>
      <w:r w:rsidR="00083169">
        <w:rPr>
          <w:sz w:val="20"/>
          <w:szCs w:val="19"/>
        </w:rPr>
        <w:tab/>
      </w:r>
      <w:r w:rsidR="00083169">
        <w:rPr>
          <w:sz w:val="20"/>
          <w:szCs w:val="19"/>
        </w:rPr>
        <w:tab/>
      </w:r>
      <w:r w:rsidR="00083169">
        <w:rPr>
          <w:sz w:val="20"/>
          <w:szCs w:val="19"/>
        </w:rPr>
        <w:tab/>
      </w:r>
      <w:r w:rsidRPr="00DA36D2">
        <w:rPr>
          <w:rFonts w:eastAsia="Calibri"/>
          <w:sz w:val="20"/>
          <w:szCs w:val="19"/>
        </w:rPr>
        <w:t>3.5</w:t>
      </w:r>
      <w:r w:rsidR="00083169">
        <w:rPr>
          <w:sz w:val="20"/>
          <w:szCs w:val="19"/>
        </w:rPr>
        <w:t>0</w:t>
      </w:r>
      <w:r w:rsidRPr="00DA36D2">
        <w:rPr>
          <w:rFonts w:eastAsia="Calibri"/>
          <w:sz w:val="20"/>
          <w:szCs w:val="19"/>
        </w:rPr>
        <w:t>% - 8.25%</w:t>
      </w:r>
    </w:p>
    <w:p w:rsidR="00950F23" w:rsidRDefault="00950F23" w:rsidP="00950F23">
      <w:pPr>
        <w:pStyle w:val="Default"/>
        <w:ind w:left="2800" w:firstLine="80"/>
        <w:rPr>
          <w:sz w:val="20"/>
          <w:szCs w:val="19"/>
        </w:rPr>
      </w:pPr>
    </w:p>
    <w:p w:rsidR="005414E6" w:rsidRPr="00DA36D2" w:rsidRDefault="005414E6" w:rsidP="00950F23">
      <w:pPr>
        <w:pStyle w:val="Default"/>
        <w:ind w:left="3040" w:firstLine="80"/>
        <w:rPr>
          <w:rFonts w:eastAsia="Calibri"/>
          <w:sz w:val="16"/>
          <w:szCs w:val="19"/>
        </w:rPr>
      </w:pPr>
      <w:r w:rsidRPr="00DA36D2">
        <w:rPr>
          <w:rFonts w:eastAsia="Calibri"/>
          <w:sz w:val="16"/>
          <w:szCs w:val="19"/>
        </w:rPr>
        <w:t>*Net of pension plan investment expense</w:t>
      </w:r>
    </w:p>
    <w:p w:rsidR="005414E6" w:rsidRPr="00313C4B" w:rsidRDefault="005414E6" w:rsidP="005C5C7B">
      <w:pPr>
        <w:pStyle w:val="Default"/>
        <w:jc w:val="both"/>
        <w:rPr>
          <w:sz w:val="20"/>
          <w:szCs w:val="19"/>
        </w:rPr>
      </w:pPr>
    </w:p>
    <w:p w:rsidR="005414E6" w:rsidRPr="00313C4B" w:rsidRDefault="005414E6" w:rsidP="005C5C7B">
      <w:pPr>
        <w:pStyle w:val="Default"/>
        <w:jc w:val="both"/>
        <w:rPr>
          <w:sz w:val="20"/>
          <w:szCs w:val="19"/>
        </w:rPr>
      </w:pPr>
      <w:r w:rsidRPr="00313C4B">
        <w:rPr>
          <w:sz w:val="20"/>
          <w:szCs w:val="19"/>
        </w:rPr>
        <w:t>The actuarial assumptions used in the actuarial va</w:t>
      </w:r>
      <w:r w:rsidR="00FB5907">
        <w:rPr>
          <w:sz w:val="20"/>
          <w:szCs w:val="19"/>
        </w:rPr>
        <w:t>luation as of September 30, 2014</w:t>
      </w:r>
      <w:r w:rsidRPr="00313C4B">
        <w:rPr>
          <w:sz w:val="20"/>
          <w:szCs w:val="19"/>
        </w:rPr>
        <w:t xml:space="preserve">, were based on the results of an investigation of the economic and demographic experience for the JRF based upon participant data as of September 30, 2010. The Board of Control accepted and approved these changes on January 27, 2012, which became effective at the beginning of fiscal year 2012. </w:t>
      </w:r>
    </w:p>
    <w:p w:rsidR="005414E6" w:rsidRPr="00313C4B" w:rsidRDefault="005414E6" w:rsidP="005C5C7B">
      <w:pPr>
        <w:pStyle w:val="Default"/>
        <w:jc w:val="both"/>
        <w:rPr>
          <w:sz w:val="20"/>
          <w:szCs w:val="19"/>
        </w:rPr>
      </w:pPr>
    </w:p>
    <w:p w:rsidR="005414E6" w:rsidRPr="00313C4B" w:rsidRDefault="00083169" w:rsidP="005C5C7B">
      <w:pPr>
        <w:pStyle w:val="Default"/>
        <w:jc w:val="both"/>
        <w:rPr>
          <w:sz w:val="20"/>
          <w:szCs w:val="19"/>
        </w:rPr>
      </w:pPr>
      <w:r>
        <w:rPr>
          <w:sz w:val="20"/>
          <w:szCs w:val="19"/>
        </w:rPr>
        <w:t>Mortality rates for the Plan</w:t>
      </w:r>
      <w:r w:rsidR="005414E6" w:rsidRPr="00313C4B">
        <w:rPr>
          <w:sz w:val="20"/>
          <w:szCs w:val="19"/>
        </w:rPr>
        <w:t xml:space="preserve"> were based on the RP-2000 Combined Mortality Table for Males or Females, as appropriate, with adjustments for mortality improvements based on Scale AA projected to 2015 and set forward one year for females. </w:t>
      </w:r>
    </w:p>
    <w:p w:rsidR="005414E6" w:rsidRPr="00313C4B" w:rsidRDefault="005414E6" w:rsidP="005C5C7B">
      <w:pPr>
        <w:pStyle w:val="Default"/>
        <w:jc w:val="both"/>
        <w:rPr>
          <w:sz w:val="20"/>
          <w:szCs w:val="19"/>
        </w:rPr>
      </w:pPr>
    </w:p>
    <w:p w:rsidR="00A26B59" w:rsidRPr="00313C4B" w:rsidRDefault="005414E6" w:rsidP="005C5C7B">
      <w:pPr>
        <w:widowControl w:val="0"/>
        <w:autoSpaceDE w:val="0"/>
        <w:autoSpaceDN w:val="0"/>
        <w:adjustRightInd w:val="0"/>
        <w:spacing w:after="0" w:line="240" w:lineRule="auto"/>
        <w:jc w:val="both"/>
        <w:rPr>
          <w:rFonts w:ascii="Times New Roman" w:hAnsi="Times New Roman"/>
          <w:color w:val="2B2A29"/>
          <w:sz w:val="20"/>
          <w:szCs w:val="19"/>
        </w:rPr>
      </w:pPr>
      <w:r w:rsidRPr="00313C4B">
        <w:rPr>
          <w:rFonts w:ascii="Times New Roman" w:hAnsi="Times New Roman"/>
          <w:sz w:val="20"/>
          <w:szCs w:val="19"/>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rsidR="00A26B59" w:rsidRDefault="00A26B59" w:rsidP="00A940AE">
      <w:pPr>
        <w:widowControl w:val="0"/>
        <w:autoSpaceDE w:val="0"/>
        <w:autoSpaceDN w:val="0"/>
        <w:adjustRightInd w:val="0"/>
        <w:spacing w:after="0" w:line="240" w:lineRule="exact"/>
        <w:jc w:val="both"/>
        <w:rPr>
          <w:rFonts w:ascii="Times New Roman" w:hAnsi="Times New Roman"/>
          <w:color w:val="2B2A29"/>
          <w:sz w:val="20"/>
          <w:szCs w:val="19"/>
        </w:rPr>
      </w:pPr>
    </w:p>
    <w:p w:rsidR="005A6B4F" w:rsidRDefault="005A6B4F" w:rsidP="00A940AE">
      <w:pPr>
        <w:widowControl w:val="0"/>
        <w:autoSpaceDE w:val="0"/>
        <w:autoSpaceDN w:val="0"/>
        <w:adjustRightInd w:val="0"/>
        <w:spacing w:after="0" w:line="240" w:lineRule="exact"/>
        <w:jc w:val="both"/>
        <w:rPr>
          <w:rFonts w:ascii="Times New Roman" w:hAnsi="Times New Roman"/>
          <w:color w:val="2B2A29"/>
          <w:sz w:val="20"/>
          <w:szCs w:val="19"/>
        </w:rPr>
      </w:pPr>
    </w:p>
    <w:p w:rsidR="005A6B4F" w:rsidRDefault="005A6B4F" w:rsidP="00A940AE">
      <w:pPr>
        <w:widowControl w:val="0"/>
        <w:autoSpaceDE w:val="0"/>
        <w:autoSpaceDN w:val="0"/>
        <w:adjustRightInd w:val="0"/>
        <w:spacing w:after="0" w:line="240" w:lineRule="exact"/>
        <w:jc w:val="both"/>
        <w:rPr>
          <w:rFonts w:ascii="Times New Roman" w:hAnsi="Times New Roman"/>
          <w:color w:val="2B2A29"/>
          <w:sz w:val="20"/>
          <w:szCs w:val="19"/>
        </w:rPr>
      </w:pPr>
    </w:p>
    <w:p w:rsidR="005A6B4F" w:rsidRDefault="005A6B4F" w:rsidP="00A940AE">
      <w:pPr>
        <w:widowControl w:val="0"/>
        <w:autoSpaceDE w:val="0"/>
        <w:autoSpaceDN w:val="0"/>
        <w:adjustRightInd w:val="0"/>
        <w:spacing w:after="0" w:line="240" w:lineRule="exact"/>
        <w:jc w:val="both"/>
        <w:rPr>
          <w:rFonts w:ascii="Times New Roman" w:hAnsi="Times New Roman"/>
          <w:color w:val="2B2A29"/>
          <w:sz w:val="20"/>
          <w:szCs w:val="19"/>
        </w:rPr>
      </w:pPr>
    </w:p>
    <w:p w:rsidR="003A44CC" w:rsidRDefault="003A44CC" w:rsidP="00A940AE">
      <w:pPr>
        <w:widowControl w:val="0"/>
        <w:autoSpaceDE w:val="0"/>
        <w:autoSpaceDN w:val="0"/>
        <w:adjustRightInd w:val="0"/>
        <w:spacing w:after="0" w:line="240" w:lineRule="exact"/>
        <w:jc w:val="both"/>
        <w:rPr>
          <w:rFonts w:ascii="Times New Roman" w:hAnsi="Times New Roman"/>
          <w:color w:val="2B2A29"/>
          <w:sz w:val="20"/>
          <w:szCs w:val="19"/>
        </w:rPr>
      </w:pPr>
    </w:p>
    <w:p w:rsidR="003A44CC" w:rsidRDefault="003A44CC" w:rsidP="00A940AE">
      <w:pPr>
        <w:widowControl w:val="0"/>
        <w:autoSpaceDE w:val="0"/>
        <w:autoSpaceDN w:val="0"/>
        <w:adjustRightInd w:val="0"/>
        <w:spacing w:after="0" w:line="240" w:lineRule="exact"/>
        <w:jc w:val="both"/>
        <w:rPr>
          <w:rFonts w:ascii="Times New Roman" w:hAnsi="Times New Roman"/>
          <w:color w:val="2B2A29"/>
          <w:sz w:val="20"/>
          <w:szCs w:val="19"/>
        </w:rPr>
      </w:pPr>
    </w:p>
    <w:p w:rsidR="003A44CC" w:rsidRPr="00313C4B" w:rsidRDefault="003A44CC" w:rsidP="00A940AE">
      <w:pPr>
        <w:widowControl w:val="0"/>
        <w:autoSpaceDE w:val="0"/>
        <w:autoSpaceDN w:val="0"/>
        <w:adjustRightInd w:val="0"/>
        <w:spacing w:after="0" w:line="240" w:lineRule="exact"/>
        <w:jc w:val="both"/>
        <w:rPr>
          <w:rFonts w:ascii="Times New Roman" w:hAnsi="Times New Roman"/>
          <w:color w:val="2B2A29"/>
          <w:sz w:val="20"/>
          <w:szCs w:val="19"/>
        </w:rPr>
      </w:pPr>
    </w:p>
    <w:p w:rsidR="00A26B59" w:rsidRPr="00313C4B" w:rsidRDefault="00A26B59" w:rsidP="00A940AE">
      <w:pPr>
        <w:widowControl w:val="0"/>
        <w:autoSpaceDE w:val="0"/>
        <w:autoSpaceDN w:val="0"/>
        <w:adjustRightInd w:val="0"/>
        <w:spacing w:after="0" w:line="240" w:lineRule="exact"/>
        <w:jc w:val="both"/>
        <w:rPr>
          <w:rFonts w:ascii="Times New Roman" w:hAnsi="Times New Roman"/>
          <w:color w:val="2B2A29"/>
          <w:sz w:val="20"/>
          <w:szCs w:val="19"/>
        </w:rPr>
      </w:pPr>
    </w:p>
    <w:p w:rsidR="00A26B59" w:rsidRPr="00313C4B" w:rsidRDefault="00A26B59" w:rsidP="00A940AE">
      <w:pPr>
        <w:widowControl w:val="0"/>
        <w:autoSpaceDE w:val="0"/>
        <w:autoSpaceDN w:val="0"/>
        <w:adjustRightInd w:val="0"/>
        <w:spacing w:after="0" w:line="240" w:lineRule="exact"/>
        <w:jc w:val="both"/>
        <w:rPr>
          <w:rFonts w:ascii="Times New Roman" w:hAnsi="Times New Roman"/>
          <w:color w:val="2B2A29"/>
          <w:sz w:val="20"/>
          <w:szCs w:val="19"/>
        </w:rPr>
      </w:pPr>
    </w:p>
    <w:p w:rsidR="00A26B59" w:rsidRPr="00313C4B" w:rsidRDefault="004A0FCC" w:rsidP="00A940AE">
      <w:pPr>
        <w:widowControl w:val="0"/>
        <w:autoSpaceDE w:val="0"/>
        <w:autoSpaceDN w:val="0"/>
        <w:adjustRightInd w:val="0"/>
        <w:spacing w:after="0" w:line="240" w:lineRule="exact"/>
        <w:jc w:val="both"/>
        <w:rPr>
          <w:rFonts w:ascii="Times New Roman" w:hAnsi="Times New Roman"/>
          <w:color w:val="2B2A29"/>
          <w:sz w:val="20"/>
          <w:szCs w:val="19"/>
        </w:rPr>
      </w:pPr>
      <w:r>
        <w:rPr>
          <w:rFonts w:ascii="Times New Roman" w:hAnsi="Times New Roman"/>
          <w:noProof/>
          <w:color w:val="2B2A29"/>
          <w:sz w:val="20"/>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83.3pt;margin-top:-13.95pt;width:294.6pt;height:171.9pt;z-index:251657728;mso-position-horizontal-relative:text;mso-position-vertical-relative:text">
            <v:imagedata r:id="rId6" o:title=""/>
            <o:lock v:ext="edit" aspectratio="f"/>
          </v:shape>
          <o:OLEObject Type="Embed" ProgID="Excel.Sheet.12" ShapeID="_x0000_s1036" DrawAspect="Content" ObjectID="_1549456967" r:id="rId7"/>
        </w:object>
      </w:r>
    </w:p>
    <w:p w:rsidR="00A26B59" w:rsidRPr="00313C4B" w:rsidRDefault="00A26B59" w:rsidP="00A940AE">
      <w:pPr>
        <w:widowControl w:val="0"/>
        <w:autoSpaceDE w:val="0"/>
        <w:autoSpaceDN w:val="0"/>
        <w:adjustRightInd w:val="0"/>
        <w:spacing w:after="0" w:line="240" w:lineRule="exact"/>
        <w:rPr>
          <w:rFonts w:ascii="Times New Roman" w:hAnsi="Times New Roman"/>
          <w:color w:val="2B2A29"/>
          <w:spacing w:val="-1"/>
          <w:sz w:val="28"/>
          <w:szCs w:val="24"/>
        </w:rPr>
      </w:pPr>
      <w:bookmarkStart w:id="4" w:name="Pg236"/>
      <w:bookmarkEnd w:id="4"/>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BA0E5F" w:rsidRPr="005C5C7B" w:rsidRDefault="005C5C7B" w:rsidP="00A940AE">
      <w:pPr>
        <w:widowControl w:val="0"/>
        <w:autoSpaceDE w:val="0"/>
        <w:autoSpaceDN w:val="0"/>
        <w:adjustRightInd w:val="0"/>
        <w:spacing w:after="0" w:line="218" w:lineRule="exact"/>
        <w:jc w:val="both"/>
        <w:rPr>
          <w:rFonts w:ascii="Times New Roman" w:hAnsi="Times New Roman"/>
          <w:b/>
          <w:i/>
          <w:sz w:val="20"/>
          <w:szCs w:val="19"/>
        </w:rPr>
      </w:pPr>
      <w:r w:rsidRPr="005C5C7B">
        <w:rPr>
          <w:rFonts w:ascii="Times New Roman" w:hAnsi="Times New Roman"/>
          <w:b/>
          <w:i/>
          <w:sz w:val="20"/>
          <w:szCs w:val="19"/>
        </w:rPr>
        <w:t>Discount Rate</w:t>
      </w:r>
    </w:p>
    <w:p w:rsidR="005C5C7B" w:rsidRPr="00313C4B" w:rsidRDefault="005C5C7B" w:rsidP="005C5C7B">
      <w:pPr>
        <w:widowControl w:val="0"/>
        <w:autoSpaceDE w:val="0"/>
        <w:autoSpaceDN w:val="0"/>
        <w:adjustRightInd w:val="0"/>
        <w:spacing w:after="0" w:line="240" w:lineRule="auto"/>
        <w:jc w:val="both"/>
        <w:rPr>
          <w:rFonts w:ascii="Times New Roman" w:hAnsi="Times New Roman"/>
          <w:sz w:val="20"/>
          <w:szCs w:val="19"/>
        </w:rPr>
      </w:pPr>
    </w:p>
    <w:p w:rsidR="00A26B59" w:rsidRPr="00313C4B" w:rsidRDefault="00192305" w:rsidP="005C5C7B">
      <w:pPr>
        <w:widowControl w:val="0"/>
        <w:autoSpaceDE w:val="0"/>
        <w:autoSpaceDN w:val="0"/>
        <w:adjustRightInd w:val="0"/>
        <w:spacing w:after="0" w:line="240" w:lineRule="auto"/>
        <w:jc w:val="both"/>
        <w:rPr>
          <w:rFonts w:ascii="Times New Roman" w:hAnsi="Times New Roman"/>
          <w:color w:val="2B2A29"/>
          <w:spacing w:val="-2"/>
          <w:sz w:val="20"/>
          <w:szCs w:val="19"/>
        </w:rPr>
      </w:pPr>
      <w:r w:rsidRPr="00313C4B">
        <w:rPr>
          <w:rFonts w:ascii="Times New Roman" w:hAnsi="Times New Roman"/>
          <w:sz w:val="20"/>
          <w:szCs w:val="19"/>
        </w:rPr>
        <w:t>The discount rate used to measure the total pension liability was 8.00%.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z w:val="20"/>
          <w:szCs w:val="19"/>
        </w:rPr>
      </w:pPr>
      <w:bookmarkStart w:id="5" w:name="Pg237"/>
      <w:bookmarkEnd w:id="5"/>
    </w:p>
    <w:p w:rsidR="00BA0E5F" w:rsidRDefault="00BA0E5F"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Pr="00A6437C" w:rsidRDefault="00A6437C" w:rsidP="00A6437C">
      <w:pPr>
        <w:widowControl w:val="0"/>
        <w:autoSpaceDE w:val="0"/>
        <w:autoSpaceDN w:val="0"/>
        <w:adjustRightInd w:val="0"/>
        <w:spacing w:after="0" w:line="218" w:lineRule="exact"/>
        <w:jc w:val="both"/>
        <w:rPr>
          <w:rFonts w:ascii="Times New Roman" w:hAnsi="Times New Roman"/>
          <w:b/>
          <w:i/>
          <w:color w:val="2B2A29"/>
          <w:sz w:val="20"/>
          <w:szCs w:val="19"/>
        </w:rPr>
      </w:pPr>
      <w:r w:rsidRPr="00A6437C">
        <w:rPr>
          <w:rFonts w:ascii="Times New Roman" w:hAnsi="Times New Roman"/>
          <w:b/>
          <w:i/>
          <w:color w:val="2B2A29"/>
          <w:sz w:val="20"/>
          <w:szCs w:val="19"/>
        </w:rPr>
        <w:t>Pension plan fiduciary net position</w:t>
      </w:r>
    </w:p>
    <w:p w:rsidR="00A6437C" w:rsidRDefault="00A6437C" w:rsidP="00A6437C">
      <w:pPr>
        <w:widowControl w:val="0"/>
        <w:autoSpaceDE w:val="0"/>
        <w:autoSpaceDN w:val="0"/>
        <w:adjustRightInd w:val="0"/>
        <w:spacing w:after="0" w:line="218" w:lineRule="exact"/>
        <w:jc w:val="both"/>
        <w:rPr>
          <w:rFonts w:ascii="Times New Roman" w:hAnsi="Times New Roman"/>
          <w:color w:val="2B2A29"/>
          <w:sz w:val="20"/>
          <w:szCs w:val="19"/>
        </w:rPr>
      </w:pPr>
    </w:p>
    <w:p w:rsidR="00A6437C" w:rsidRDefault="00A6437C" w:rsidP="00A6437C">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Detailed information about the pension plan’s fiduciary net position is available in the separately issued RSA Comprehensive Annual Financial Report for the fisc</w:t>
      </w:r>
      <w:r w:rsidR="00FB5907">
        <w:rPr>
          <w:rFonts w:ascii="Times New Roman" w:hAnsi="Times New Roman"/>
          <w:color w:val="2B2A29"/>
          <w:sz w:val="20"/>
          <w:szCs w:val="19"/>
        </w:rPr>
        <w:t>al year ended September 30, 2015</w:t>
      </w:r>
      <w:r>
        <w:rPr>
          <w:rFonts w:ascii="Times New Roman" w:hAnsi="Times New Roman"/>
          <w:color w:val="2B2A29"/>
          <w:sz w:val="20"/>
          <w:szCs w:val="19"/>
        </w:rPr>
        <w:t>. The supporting actuarial information is included in the GASB Statement No. 67 for the JRF p</w:t>
      </w:r>
      <w:r w:rsidR="00FB5907">
        <w:rPr>
          <w:rFonts w:ascii="Times New Roman" w:hAnsi="Times New Roman"/>
          <w:color w:val="2B2A29"/>
          <w:sz w:val="20"/>
          <w:szCs w:val="19"/>
        </w:rPr>
        <w:t>repared as of September 30, 2015</w:t>
      </w:r>
      <w:r>
        <w:rPr>
          <w:rFonts w:ascii="Times New Roman" w:hAnsi="Times New Roman"/>
          <w:color w:val="2B2A29"/>
          <w:sz w:val="20"/>
          <w:szCs w:val="19"/>
        </w:rPr>
        <w:t>. The a</w:t>
      </w:r>
      <w:r w:rsidR="00FB5907">
        <w:rPr>
          <w:rFonts w:ascii="Times New Roman" w:hAnsi="Times New Roman"/>
          <w:color w:val="2B2A29"/>
          <w:sz w:val="20"/>
          <w:szCs w:val="19"/>
        </w:rPr>
        <w:t>uditor’s report dated October 17, 2016</w:t>
      </w:r>
      <w:r>
        <w:rPr>
          <w:rFonts w:ascii="Times New Roman" w:hAnsi="Times New Roman"/>
          <w:color w:val="2B2A29"/>
          <w:sz w:val="20"/>
          <w:szCs w:val="19"/>
        </w:rPr>
        <w:t xml:space="preserve"> on the total pension liability, total deferred outflows of resources, total deferred inflows of resources, total pension expense for the sum of all participating entities as of September 30,</w:t>
      </w:r>
      <w:r w:rsidR="008E3523">
        <w:rPr>
          <w:rFonts w:ascii="Times New Roman" w:hAnsi="Times New Roman"/>
          <w:color w:val="2B2A29"/>
          <w:sz w:val="20"/>
          <w:szCs w:val="19"/>
        </w:rPr>
        <w:t xml:space="preserve"> </w:t>
      </w:r>
      <w:r w:rsidR="00FB5907">
        <w:rPr>
          <w:rFonts w:ascii="Times New Roman" w:hAnsi="Times New Roman"/>
          <w:color w:val="2B2A29"/>
          <w:sz w:val="20"/>
          <w:szCs w:val="19"/>
        </w:rPr>
        <w:t>2015</w:t>
      </w:r>
      <w:r>
        <w:rPr>
          <w:rFonts w:ascii="Times New Roman" w:hAnsi="Times New Roman"/>
          <w:color w:val="2B2A29"/>
          <w:sz w:val="20"/>
          <w:szCs w:val="19"/>
        </w:rPr>
        <w:t xml:space="preserve"> along with supporting schedules is also available. The additional financial and actuarial information is available at www.rsa-al.gov.  </w:t>
      </w: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4A0FCC" w:rsidRDefault="004A0FCC"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Sample County</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Required Supplementary Information</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Schedule of Proportionate Share of the Net Pension Liability</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Judicial Retirement Fund</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for the Year Ended September 30</w:t>
      </w:r>
    </w:p>
    <w:p w:rsidR="00083169" w:rsidRPr="00083169" w:rsidRDefault="00083169" w:rsidP="005C5C7B">
      <w:pPr>
        <w:widowControl w:val="0"/>
        <w:autoSpaceDE w:val="0"/>
        <w:autoSpaceDN w:val="0"/>
        <w:adjustRightInd w:val="0"/>
        <w:spacing w:after="0" w:line="218" w:lineRule="exact"/>
        <w:jc w:val="center"/>
        <w:rPr>
          <w:rFonts w:ascii="Times New Roman" w:hAnsi="Times New Roman"/>
          <w:color w:val="2B2A29"/>
          <w:sz w:val="20"/>
          <w:szCs w:val="19"/>
        </w:rPr>
      </w:pPr>
      <w:r>
        <w:rPr>
          <w:rFonts w:ascii="Times New Roman" w:hAnsi="Times New Roman"/>
          <w:color w:val="2B2A29"/>
          <w:sz w:val="20"/>
          <w:szCs w:val="19"/>
        </w:rPr>
        <w:t>(D</w:t>
      </w:r>
      <w:r w:rsidRPr="00083169">
        <w:rPr>
          <w:rFonts w:ascii="Times New Roman" w:hAnsi="Times New Roman"/>
          <w:color w:val="2B2A29"/>
          <w:sz w:val="20"/>
          <w:szCs w:val="19"/>
        </w:rPr>
        <w:t>ollar amounts in thousands)</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48430D">
      <w:pPr>
        <w:widowControl w:val="0"/>
        <w:autoSpaceDE w:val="0"/>
        <w:autoSpaceDN w:val="0"/>
        <w:adjustRightInd w:val="0"/>
        <w:spacing w:after="0" w:line="218" w:lineRule="exact"/>
        <w:rPr>
          <w:rFonts w:ascii="Times New Roman" w:hAnsi="Times New Roman"/>
          <w:b/>
          <w:color w:val="2B2A29"/>
          <w:sz w:val="20"/>
          <w:szCs w:val="19"/>
        </w:rPr>
      </w:pPr>
    </w:p>
    <w:p w:rsidR="0048430D" w:rsidRDefault="0048430D" w:rsidP="0048430D">
      <w:pPr>
        <w:widowControl w:val="0"/>
        <w:autoSpaceDE w:val="0"/>
        <w:autoSpaceDN w:val="0"/>
        <w:adjustRightInd w:val="0"/>
        <w:spacing w:after="0" w:line="218" w:lineRule="exact"/>
        <w:rPr>
          <w:rFonts w:ascii="Times New Roman" w:hAnsi="Times New Roman"/>
          <w:b/>
          <w:color w:val="2B2A29"/>
          <w:sz w:val="20"/>
          <w:szCs w:val="19"/>
        </w:rPr>
      </w:pPr>
    </w:p>
    <w:p w:rsidR="0048430D" w:rsidRPr="00E10B6E" w:rsidRDefault="0048430D" w:rsidP="0048430D">
      <w:pPr>
        <w:widowControl w:val="0"/>
        <w:autoSpaceDE w:val="0"/>
        <w:autoSpaceDN w:val="0"/>
        <w:adjustRightInd w:val="0"/>
        <w:spacing w:after="0" w:line="218" w:lineRule="exact"/>
        <w:jc w:val="center"/>
        <w:rPr>
          <w:rFonts w:ascii="Times New Roman" w:hAnsi="Times New Roman"/>
          <w:b/>
          <w:color w:val="2B2A29"/>
          <w:sz w:val="20"/>
          <w:szCs w:val="19"/>
          <w:u w:val="single"/>
        </w:rPr>
      </w:pP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sidRPr="0048430D">
        <w:rPr>
          <w:rFonts w:ascii="Times New Roman" w:hAnsi="Times New Roman"/>
          <w:b/>
          <w:color w:val="2B2A29"/>
          <w:sz w:val="20"/>
          <w:szCs w:val="19"/>
          <w:u w:val="single"/>
        </w:rPr>
        <w:tab/>
      </w:r>
      <w:r w:rsidRPr="0048430D">
        <w:rPr>
          <w:rFonts w:ascii="Times New Roman" w:hAnsi="Times New Roman"/>
          <w:b/>
          <w:color w:val="2B2A29"/>
          <w:sz w:val="20"/>
          <w:szCs w:val="19"/>
          <w:u w:val="single"/>
        </w:rPr>
        <w:tab/>
        <w:t>201</w:t>
      </w:r>
      <w:r w:rsidR="00EA520C">
        <w:rPr>
          <w:rFonts w:ascii="Times New Roman" w:hAnsi="Times New Roman"/>
          <w:b/>
          <w:color w:val="2B2A29"/>
          <w:sz w:val="20"/>
          <w:szCs w:val="19"/>
          <w:u w:val="single"/>
        </w:rPr>
        <w:t>6</w:t>
      </w:r>
      <w:r w:rsidRPr="0048430D">
        <w:rPr>
          <w:rFonts w:ascii="Times New Roman" w:hAnsi="Times New Roman"/>
          <w:b/>
          <w:color w:val="2B2A29"/>
          <w:sz w:val="20"/>
          <w:szCs w:val="19"/>
          <w:u w:val="single"/>
        </w:rPr>
        <w:t xml:space="preserve">     </w:t>
      </w:r>
    </w:p>
    <w:p w:rsidR="00083169" w:rsidRPr="00E10B6E"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u w:val="single"/>
        </w:rPr>
      </w:pPr>
    </w:p>
    <w:p w:rsidR="0048430D" w:rsidRPr="0048430D" w:rsidRDefault="0048430D"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Employer’s proportion of the net pension liability</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0.0%</w:t>
      </w:r>
    </w:p>
    <w:p w:rsidR="00083169" w:rsidRDefault="00083169" w:rsidP="0048430D">
      <w:pPr>
        <w:widowControl w:val="0"/>
        <w:autoSpaceDE w:val="0"/>
        <w:autoSpaceDN w:val="0"/>
        <w:adjustRightInd w:val="0"/>
        <w:spacing w:after="0" w:line="218" w:lineRule="exact"/>
        <w:rPr>
          <w:rFonts w:ascii="Times New Roman" w:hAnsi="Times New Roman"/>
          <w:b/>
          <w:color w:val="2B2A29"/>
          <w:sz w:val="20"/>
          <w:szCs w:val="19"/>
        </w:rPr>
      </w:pP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 xml:space="preserve">Employer’s proportionate share of the </w:t>
      </w:r>
      <w:r w:rsidR="00576279">
        <w:rPr>
          <w:rFonts w:ascii="Times New Roman" w:hAnsi="Times New Roman"/>
          <w:color w:val="2B2A29"/>
          <w:sz w:val="20"/>
          <w:szCs w:val="19"/>
        </w:rPr>
        <w:t xml:space="preserve">net pension liability </w:t>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w:t>
      </w:r>
      <w:r w:rsidR="00767766">
        <w:rPr>
          <w:rFonts w:ascii="Times New Roman" w:hAnsi="Times New Roman"/>
          <w:color w:val="2B2A29"/>
          <w:sz w:val="20"/>
          <w:szCs w:val="19"/>
        </w:rPr>
        <w:tab/>
      </w:r>
      <w:r w:rsidR="00767766">
        <w:rPr>
          <w:rFonts w:ascii="Times New Roman" w:hAnsi="Times New Roman"/>
          <w:color w:val="2B2A29"/>
          <w:sz w:val="20"/>
          <w:szCs w:val="19"/>
        </w:rPr>
        <w:tab/>
      </w:r>
      <w:r w:rsidR="00767766">
        <w:rPr>
          <w:rFonts w:ascii="Times New Roman" w:hAnsi="Times New Roman"/>
          <w:color w:val="2B2A29"/>
          <w:sz w:val="20"/>
          <w:szCs w:val="19"/>
        </w:rPr>
        <w:tab/>
      </w:r>
      <w:r w:rsidR="00767766">
        <w:rPr>
          <w:rFonts w:ascii="Times New Roman" w:hAnsi="Times New Roman"/>
          <w:color w:val="2B2A29"/>
          <w:sz w:val="20"/>
          <w:szCs w:val="19"/>
        </w:rPr>
        <w:tab/>
      </w:r>
      <w:r w:rsidR="00767766">
        <w:rPr>
          <w:rFonts w:ascii="Times New Roman" w:hAnsi="Times New Roman"/>
          <w:color w:val="2B2A29"/>
          <w:sz w:val="20"/>
          <w:szCs w:val="19"/>
        </w:rPr>
        <w:tab/>
      </w:r>
      <w:r w:rsidR="00767766">
        <w:rPr>
          <w:rFonts w:ascii="Times New Roman" w:hAnsi="Times New Roman"/>
          <w:color w:val="2B2A29"/>
          <w:sz w:val="20"/>
          <w:szCs w:val="19"/>
        </w:rPr>
        <w:tab/>
      </w:r>
      <w:r>
        <w:rPr>
          <w:rFonts w:ascii="Times New Roman" w:hAnsi="Times New Roman"/>
          <w:color w:val="2B2A29"/>
          <w:sz w:val="20"/>
          <w:szCs w:val="19"/>
        </w:rPr>
        <w:tab/>
        <w:t>0</w:t>
      </w: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rPr>
      </w:pP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 xml:space="preserve">State of Alabama’s proportionate share of the net pension liability </w:t>
      </w: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u w:val="single"/>
        </w:rPr>
      </w:pPr>
      <w:r>
        <w:rPr>
          <w:rFonts w:ascii="Times New Roman" w:hAnsi="Times New Roman"/>
          <w:color w:val="2B2A29"/>
          <w:sz w:val="20"/>
          <w:szCs w:val="19"/>
        </w:rPr>
        <w:t>associated with the Employer</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t xml:space="preserve">  </w:t>
      </w:r>
      <w:r w:rsidR="00BE2777">
        <w:rPr>
          <w:rFonts w:ascii="Times New Roman" w:hAnsi="Times New Roman"/>
          <w:color w:val="2B2A29"/>
          <w:sz w:val="20"/>
          <w:szCs w:val="19"/>
        </w:rPr>
        <w:tab/>
      </w:r>
      <w:r w:rsidR="00A64045">
        <w:rPr>
          <w:rFonts w:ascii="Times New Roman" w:hAnsi="Times New Roman"/>
          <w:color w:val="2B2A29"/>
          <w:sz w:val="20"/>
          <w:szCs w:val="19"/>
          <w:u w:val="single"/>
        </w:rPr>
        <w:t xml:space="preserve">$[See </w:t>
      </w:r>
      <w:r w:rsidR="00E10B6E">
        <w:rPr>
          <w:rFonts w:ascii="Times New Roman" w:hAnsi="Times New Roman"/>
          <w:color w:val="2B2A29"/>
          <w:sz w:val="20"/>
          <w:szCs w:val="19"/>
          <w:u w:val="single"/>
        </w:rPr>
        <w:t>Employer’s Valuation</w:t>
      </w:r>
      <w:r w:rsidR="00A64045">
        <w:rPr>
          <w:rFonts w:ascii="Times New Roman" w:hAnsi="Times New Roman"/>
          <w:color w:val="2B2A29"/>
          <w:sz w:val="20"/>
          <w:szCs w:val="19"/>
          <w:u w:val="single"/>
        </w:rPr>
        <w:t>]</w:t>
      </w: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u w:val="single"/>
        </w:rPr>
      </w:pP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u w:val="thick"/>
        </w:rPr>
      </w:pPr>
      <w:r w:rsidRPr="0048430D">
        <w:rPr>
          <w:rFonts w:ascii="Times New Roman" w:hAnsi="Times New Roman"/>
          <w:color w:val="2B2A29"/>
          <w:sz w:val="20"/>
          <w:szCs w:val="19"/>
        </w:rPr>
        <w:t>Total</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t xml:space="preserve">  </w:t>
      </w:r>
      <w:r w:rsidR="00E10B6E">
        <w:rPr>
          <w:rFonts w:ascii="Times New Roman" w:hAnsi="Times New Roman"/>
          <w:color w:val="2B2A29"/>
          <w:sz w:val="20"/>
          <w:szCs w:val="19"/>
        </w:rPr>
        <w:tab/>
      </w:r>
      <w:r w:rsidR="00E10B6E">
        <w:rPr>
          <w:rFonts w:ascii="Times New Roman" w:hAnsi="Times New Roman"/>
          <w:color w:val="2B2A29"/>
          <w:sz w:val="20"/>
          <w:szCs w:val="19"/>
        </w:rPr>
        <w:tab/>
      </w:r>
      <w:r w:rsidR="00A64045">
        <w:rPr>
          <w:rFonts w:ascii="Times New Roman" w:hAnsi="Times New Roman"/>
          <w:color w:val="2B2A29"/>
          <w:sz w:val="20"/>
          <w:szCs w:val="19"/>
        </w:rPr>
        <w:t xml:space="preserve">  </w:t>
      </w:r>
      <w:r w:rsidRPr="0048430D">
        <w:rPr>
          <w:rFonts w:ascii="Times New Roman" w:hAnsi="Times New Roman"/>
          <w:color w:val="2B2A29"/>
          <w:sz w:val="20"/>
          <w:szCs w:val="19"/>
          <w:u w:val="thick"/>
        </w:rPr>
        <w:t>$</w:t>
      </w:r>
      <w:r w:rsidR="00E10B6E">
        <w:rPr>
          <w:rFonts w:ascii="Times New Roman" w:hAnsi="Times New Roman"/>
          <w:color w:val="2B2A29"/>
          <w:sz w:val="20"/>
          <w:szCs w:val="19"/>
          <w:u w:val="thick"/>
        </w:rPr>
        <w:t>[See Employer’s Valuation</w:t>
      </w:r>
      <w:r w:rsidR="00A64045">
        <w:rPr>
          <w:rFonts w:ascii="Times New Roman" w:hAnsi="Times New Roman"/>
          <w:color w:val="2B2A29"/>
          <w:sz w:val="20"/>
          <w:szCs w:val="19"/>
          <w:u w:val="thick"/>
        </w:rPr>
        <w:t>]</w:t>
      </w: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u w:val="thick"/>
        </w:rPr>
      </w:pP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u w:val="single"/>
        </w:rPr>
      </w:pPr>
      <w:r>
        <w:rPr>
          <w:rFonts w:ascii="Times New Roman" w:hAnsi="Times New Roman"/>
          <w:color w:val="2B2A29"/>
          <w:sz w:val="20"/>
          <w:szCs w:val="19"/>
        </w:rPr>
        <w:t>Employer’s covered-employee payroll</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t xml:space="preserve">  </w:t>
      </w:r>
      <w:r w:rsidR="00BE2777">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F36781">
        <w:rPr>
          <w:rFonts w:ascii="Times New Roman" w:hAnsi="Times New Roman"/>
          <w:color w:val="2B2A29"/>
          <w:sz w:val="20"/>
          <w:szCs w:val="19"/>
        </w:rPr>
        <w:t xml:space="preserve">    </w:t>
      </w:r>
      <w:r w:rsidRPr="00576279">
        <w:rPr>
          <w:rFonts w:ascii="Times New Roman" w:hAnsi="Times New Roman"/>
          <w:color w:val="2B2A29"/>
          <w:sz w:val="20"/>
          <w:szCs w:val="19"/>
          <w:u w:val="single"/>
        </w:rPr>
        <w:t>$</w:t>
      </w:r>
      <w:r w:rsidR="00E10B6E">
        <w:rPr>
          <w:rFonts w:ascii="Times New Roman" w:hAnsi="Times New Roman"/>
          <w:color w:val="2B2A29"/>
          <w:sz w:val="20"/>
          <w:szCs w:val="19"/>
          <w:u w:val="single"/>
        </w:rPr>
        <w:t>[</w:t>
      </w:r>
      <w:r w:rsidR="00F36781">
        <w:rPr>
          <w:rFonts w:ascii="Times New Roman" w:hAnsi="Times New Roman"/>
          <w:color w:val="2B2A29"/>
          <w:sz w:val="20"/>
          <w:szCs w:val="19"/>
          <w:u w:val="single"/>
        </w:rPr>
        <w:t>Calculated by Employer</w:t>
      </w:r>
      <w:r w:rsidR="00A64045">
        <w:rPr>
          <w:rFonts w:ascii="Times New Roman" w:hAnsi="Times New Roman"/>
          <w:color w:val="2B2A29"/>
          <w:sz w:val="20"/>
          <w:szCs w:val="19"/>
          <w:u w:val="single"/>
        </w:rPr>
        <w:t>]</w:t>
      </w:r>
      <w:r w:rsidR="00A64045" w:rsidRPr="00A64045">
        <w:rPr>
          <w:rFonts w:ascii="Times New Roman" w:hAnsi="Times New Roman"/>
          <w:b/>
          <w:color w:val="2B2A29"/>
          <w:sz w:val="20"/>
          <w:szCs w:val="19"/>
        </w:rPr>
        <w:t>*</w:t>
      </w: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u w:val="single"/>
        </w:rPr>
      </w:pP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 xml:space="preserve">Employer’s proportionate share of the net pension liability </w:t>
      </w: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as a percentage of its covered-employee payroll</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N/A</w:t>
      </w: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Plan fiduciary net position as a percentage of the total</w:t>
      </w:r>
    </w:p>
    <w:p w:rsidR="00576279" w:rsidRP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pension liability</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t>62.20</w:t>
      </w:r>
      <w:r>
        <w:rPr>
          <w:rFonts w:ascii="Times New Roman" w:hAnsi="Times New Roman"/>
          <w:color w:val="2B2A29"/>
          <w:sz w:val="20"/>
          <w:szCs w:val="19"/>
        </w:rPr>
        <w:t>%</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A64045" w:rsidP="00A64045">
      <w:pPr>
        <w:widowControl w:val="0"/>
        <w:autoSpaceDE w:val="0"/>
        <w:autoSpaceDN w:val="0"/>
        <w:adjustRightInd w:val="0"/>
        <w:spacing w:after="0" w:line="218" w:lineRule="exact"/>
        <w:rPr>
          <w:rFonts w:ascii="Times New Roman" w:hAnsi="Times New Roman"/>
          <w:b/>
          <w:color w:val="2B2A29"/>
          <w:sz w:val="20"/>
          <w:szCs w:val="19"/>
        </w:rPr>
      </w:pPr>
      <w:r>
        <w:rPr>
          <w:rFonts w:ascii="Times New Roman" w:hAnsi="Times New Roman"/>
          <w:b/>
          <w:color w:val="2B2A29"/>
          <w:sz w:val="20"/>
          <w:szCs w:val="19"/>
        </w:rPr>
        <w:t xml:space="preserve">*For Counties participating in JRF for Probate Judges, this is payroll related to Probate Judges. </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5C5C7B" w:rsidRPr="00083169" w:rsidRDefault="00430832" w:rsidP="005C5C7B">
      <w:pPr>
        <w:widowControl w:val="0"/>
        <w:autoSpaceDE w:val="0"/>
        <w:autoSpaceDN w:val="0"/>
        <w:adjustRightInd w:val="0"/>
        <w:spacing w:after="0" w:line="218" w:lineRule="exact"/>
        <w:jc w:val="center"/>
        <w:rPr>
          <w:rFonts w:ascii="Times New Roman" w:hAnsi="Times New Roman"/>
          <w:b/>
          <w:color w:val="2B2A29"/>
          <w:sz w:val="20"/>
          <w:szCs w:val="19"/>
        </w:rPr>
      </w:pPr>
      <w:bookmarkStart w:id="6" w:name="_GoBack"/>
      <w:bookmarkEnd w:id="6"/>
      <w:r w:rsidRPr="00083169">
        <w:rPr>
          <w:rFonts w:ascii="Times New Roman" w:hAnsi="Times New Roman"/>
          <w:b/>
          <w:color w:val="2B2A29"/>
          <w:sz w:val="20"/>
          <w:szCs w:val="19"/>
        </w:rPr>
        <w:lastRenderedPageBreak/>
        <w:t>Sample County</w:t>
      </w:r>
    </w:p>
    <w:p w:rsidR="00430832" w:rsidRDefault="00430832" w:rsidP="005C5C7B">
      <w:pPr>
        <w:widowControl w:val="0"/>
        <w:autoSpaceDE w:val="0"/>
        <w:autoSpaceDN w:val="0"/>
        <w:adjustRightInd w:val="0"/>
        <w:spacing w:after="0" w:line="218" w:lineRule="exact"/>
        <w:jc w:val="center"/>
        <w:rPr>
          <w:rFonts w:ascii="Times New Roman" w:hAnsi="Times New Roman"/>
          <w:b/>
          <w:color w:val="2B2A29"/>
          <w:sz w:val="20"/>
          <w:szCs w:val="19"/>
        </w:rPr>
      </w:pPr>
      <w:r w:rsidRPr="00083169">
        <w:rPr>
          <w:rFonts w:ascii="Times New Roman" w:hAnsi="Times New Roman"/>
          <w:b/>
          <w:color w:val="2B2A29"/>
          <w:sz w:val="20"/>
          <w:szCs w:val="19"/>
        </w:rPr>
        <w:t>Notes to Required Supplementary Information</w:t>
      </w:r>
    </w:p>
    <w:p w:rsidR="00063694" w:rsidRPr="00083169" w:rsidRDefault="00063694"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Judicial Retirement Fund</w:t>
      </w:r>
    </w:p>
    <w:p w:rsidR="00430832" w:rsidRPr="00083169" w:rsidRDefault="00430832" w:rsidP="005C5C7B">
      <w:pPr>
        <w:widowControl w:val="0"/>
        <w:autoSpaceDE w:val="0"/>
        <w:autoSpaceDN w:val="0"/>
        <w:adjustRightInd w:val="0"/>
        <w:spacing w:after="0" w:line="218" w:lineRule="exact"/>
        <w:jc w:val="center"/>
        <w:rPr>
          <w:rFonts w:ascii="Times New Roman" w:hAnsi="Times New Roman"/>
          <w:b/>
          <w:color w:val="2B2A29"/>
          <w:sz w:val="20"/>
          <w:szCs w:val="19"/>
        </w:rPr>
      </w:pPr>
      <w:r w:rsidRPr="00083169">
        <w:rPr>
          <w:rFonts w:ascii="Times New Roman" w:hAnsi="Times New Roman"/>
          <w:b/>
          <w:color w:val="2B2A29"/>
          <w:sz w:val="20"/>
          <w:szCs w:val="19"/>
        </w:rPr>
        <w:t>For t</w:t>
      </w:r>
      <w:r w:rsidR="00F16F07">
        <w:rPr>
          <w:rFonts w:ascii="Times New Roman" w:hAnsi="Times New Roman"/>
          <w:b/>
          <w:color w:val="2B2A29"/>
          <w:sz w:val="20"/>
          <w:szCs w:val="19"/>
        </w:rPr>
        <w:t>he Year Ended September 30, 2016</w:t>
      </w:r>
      <w:r w:rsidR="00CB4E29">
        <w:rPr>
          <w:rFonts w:ascii="Times New Roman" w:hAnsi="Times New Roman"/>
          <w:b/>
          <w:color w:val="2B2A29"/>
          <w:sz w:val="20"/>
          <w:szCs w:val="19"/>
        </w:rPr>
        <w:t xml:space="preserve"> </w:t>
      </w:r>
    </w:p>
    <w:p w:rsidR="00430832" w:rsidRPr="00083169" w:rsidRDefault="00430832" w:rsidP="005C5C7B">
      <w:pPr>
        <w:widowControl w:val="0"/>
        <w:autoSpaceDE w:val="0"/>
        <w:autoSpaceDN w:val="0"/>
        <w:adjustRightInd w:val="0"/>
        <w:spacing w:after="0" w:line="218" w:lineRule="exact"/>
        <w:jc w:val="center"/>
        <w:rPr>
          <w:rFonts w:ascii="Times New Roman" w:hAnsi="Times New Roman"/>
          <w:color w:val="2B2A29"/>
          <w:sz w:val="20"/>
          <w:szCs w:val="19"/>
        </w:rPr>
      </w:pPr>
      <w:r w:rsidRPr="00083169">
        <w:rPr>
          <w:rFonts w:ascii="Times New Roman" w:hAnsi="Times New Roman"/>
          <w:color w:val="2B2A29"/>
          <w:sz w:val="20"/>
          <w:szCs w:val="19"/>
        </w:rPr>
        <w:t>(Dollar amounts in thousands)</w:t>
      </w:r>
    </w:p>
    <w:p w:rsidR="00430832" w:rsidRDefault="00430832" w:rsidP="005C5C7B">
      <w:pPr>
        <w:widowControl w:val="0"/>
        <w:autoSpaceDE w:val="0"/>
        <w:autoSpaceDN w:val="0"/>
        <w:adjustRightInd w:val="0"/>
        <w:spacing w:after="0" w:line="218" w:lineRule="exact"/>
        <w:jc w:val="center"/>
        <w:rPr>
          <w:rFonts w:ascii="Times New Roman" w:hAnsi="Times New Roman"/>
          <w:color w:val="2B2A29"/>
          <w:sz w:val="20"/>
          <w:szCs w:val="19"/>
        </w:rPr>
      </w:pPr>
    </w:p>
    <w:p w:rsidR="00430832" w:rsidRPr="00430832" w:rsidRDefault="00430832" w:rsidP="005C5C7B">
      <w:pPr>
        <w:widowControl w:val="0"/>
        <w:autoSpaceDE w:val="0"/>
        <w:autoSpaceDN w:val="0"/>
        <w:adjustRightInd w:val="0"/>
        <w:spacing w:after="0" w:line="218" w:lineRule="exact"/>
        <w:jc w:val="center"/>
        <w:rPr>
          <w:rFonts w:ascii="Times New Roman" w:hAnsi="Times New Roman"/>
          <w:b/>
          <w:i/>
          <w:color w:val="2B2A29"/>
          <w:sz w:val="20"/>
          <w:szCs w:val="19"/>
        </w:rPr>
      </w:pPr>
    </w:p>
    <w:p w:rsidR="00430832" w:rsidRPr="00430832" w:rsidRDefault="00430832" w:rsidP="00430832">
      <w:pPr>
        <w:widowControl w:val="0"/>
        <w:autoSpaceDE w:val="0"/>
        <w:autoSpaceDN w:val="0"/>
        <w:adjustRightInd w:val="0"/>
        <w:spacing w:after="0" w:line="218" w:lineRule="exact"/>
        <w:jc w:val="both"/>
        <w:rPr>
          <w:rFonts w:ascii="Times New Roman" w:hAnsi="Times New Roman"/>
          <w:b/>
          <w:i/>
          <w:color w:val="2B2A29"/>
          <w:sz w:val="20"/>
          <w:szCs w:val="19"/>
        </w:rPr>
      </w:pPr>
      <w:r w:rsidRPr="00430832">
        <w:rPr>
          <w:rFonts w:ascii="Times New Roman" w:hAnsi="Times New Roman"/>
          <w:b/>
          <w:i/>
          <w:color w:val="2B2A29"/>
          <w:sz w:val="20"/>
          <w:szCs w:val="19"/>
        </w:rPr>
        <w:t>Changes in assumptions</w:t>
      </w: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 xml:space="preserve">In 2010 and later, the expectation of retired life mortality was changed to the RP-2000 Mortality Tables rather than the 1994 Group Annuity Mortality Table, which was used prior to 2010. In 2010, rates of withdrawal, retirement, disability and mortality were adjusted to more closely reflect actual experience. In 2010, assumed rates of salary increase were adjusted to more closely reflect actual and anticipated experience. </w:t>
      </w: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p>
    <w:p w:rsidR="00430832" w:rsidRPr="00430832" w:rsidRDefault="00430832" w:rsidP="00430832">
      <w:pPr>
        <w:widowControl w:val="0"/>
        <w:autoSpaceDE w:val="0"/>
        <w:autoSpaceDN w:val="0"/>
        <w:adjustRightInd w:val="0"/>
        <w:spacing w:after="0" w:line="218" w:lineRule="exact"/>
        <w:jc w:val="both"/>
        <w:rPr>
          <w:rFonts w:ascii="Times New Roman" w:hAnsi="Times New Roman"/>
          <w:b/>
          <w:i/>
          <w:color w:val="2B2A29"/>
          <w:sz w:val="20"/>
          <w:szCs w:val="19"/>
        </w:rPr>
      </w:pPr>
      <w:r w:rsidRPr="00430832">
        <w:rPr>
          <w:rFonts w:ascii="Times New Roman" w:hAnsi="Times New Roman"/>
          <w:b/>
          <w:i/>
          <w:color w:val="2B2A29"/>
          <w:sz w:val="20"/>
          <w:szCs w:val="19"/>
        </w:rPr>
        <w:t>Method and assumptions used in calculations of actuarially determined contributions</w:t>
      </w: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The actuarially determined contribution rates in the schedule of contributions are calculated as</w:t>
      </w:r>
      <w:r w:rsidR="00414FF5">
        <w:rPr>
          <w:rFonts w:ascii="Times New Roman" w:hAnsi="Times New Roman"/>
          <w:color w:val="2B2A29"/>
          <w:sz w:val="20"/>
          <w:szCs w:val="19"/>
        </w:rPr>
        <w:t xml:space="preserve"> of September 30, three</w:t>
      </w:r>
      <w:r>
        <w:rPr>
          <w:rFonts w:ascii="Times New Roman" w:hAnsi="Times New Roman"/>
          <w:color w:val="2B2A29"/>
          <w:sz w:val="20"/>
          <w:szCs w:val="19"/>
        </w:rPr>
        <w:t xml:space="preserve"> years prior to the end of the fiscal year in which contributions are reported. The following actuarial methods and assumptions were used to determine the contractually required contributions f</w:t>
      </w:r>
      <w:r w:rsidR="00F16F07">
        <w:rPr>
          <w:rFonts w:ascii="Times New Roman" w:hAnsi="Times New Roman"/>
          <w:color w:val="2B2A29"/>
          <w:sz w:val="20"/>
          <w:szCs w:val="19"/>
        </w:rPr>
        <w:t>or year ended September 30, 2016</w:t>
      </w:r>
      <w:r>
        <w:rPr>
          <w:rFonts w:ascii="Times New Roman" w:hAnsi="Times New Roman"/>
          <w:color w:val="2B2A29"/>
          <w:sz w:val="20"/>
          <w:szCs w:val="19"/>
        </w:rPr>
        <w:t xml:space="preserve"> reported in that schedule:</w:t>
      </w:r>
    </w:p>
    <w:p w:rsidR="00430832"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b/>
      </w: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 xml:space="preserve">Valuation </w:t>
      </w:r>
      <w:r w:rsidR="00414FF5">
        <w:rPr>
          <w:rFonts w:ascii="Times New Roman" w:hAnsi="Times New Roman"/>
          <w:color w:val="2B2A29"/>
          <w:sz w:val="20"/>
          <w:szCs w:val="19"/>
        </w:rPr>
        <w:t>date</w:t>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F16F07">
        <w:rPr>
          <w:rFonts w:ascii="Times New Roman" w:hAnsi="Times New Roman"/>
          <w:color w:val="2B2A29"/>
          <w:sz w:val="20"/>
          <w:szCs w:val="19"/>
        </w:rPr>
        <w:t>September 30, 2013</w:t>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Actuarial cost method</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Entry age normal</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Amortization method</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083169">
        <w:rPr>
          <w:rFonts w:ascii="Times New Roman" w:hAnsi="Times New Roman"/>
          <w:color w:val="2B2A29"/>
          <w:sz w:val="20"/>
          <w:szCs w:val="19"/>
        </w:rPr>
        <w:t>Level percent open</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Single equivalent remaining amortization period</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F16F07">
        <w:rPr>
          <w:rFonts w:ascii="Times New Roman" w:hAnsi="Times New Roman"/>
          <w:color w:val="2B2A29"/>
          <w:sz w:val="20"/>
          <w:szCs w:val="19"/>
        </w:rPr>
        <w:t>26.5</w:t>
      </w:r>
      <w:r>
        <w:rPr>
          <w:rFonts w:ascii="Times New Roman" w:hAnsi="Times New Roman"/>
          <w:color w:val="2B2A29"/>
          <w:sz w:val="20"/>
          <w:szCs w:val="19"/>
        </w:rPr>
        <w:t xml:space="preserve"> years</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Asset valuation method</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 xml:space="preserve">Five-year </w:t>
      </w:r>
      <w:r w:rsidR="00083169">
        <w:rPr>
          <w:rFonts w:ascii="Times New Roman" w:hAnsi="Times New Roman"/>
          <w:color w:val="2B2A29"/>
          <w:sz w:val="20"/>
          <w:szCs w:val="19"/>
        </w:rPr>
        <w:t>smoothed market value</w:t>
      </w:r>
      <w:r w:rsidR="0048430D">
        <w:rPr>
          <w:rFonts w:ascii="Times New Roman" w:hAnsi="Times New Roman"/>
          <w:color w:val="2B2A29"/>
          <w:sz w:val="20"/>
          <w:szCs w:val="19"/>
        </w:rPr>
        <w:t>*</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 xml:space="preserve">Inflation rate </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3.00%</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Ultimate investment rate of return</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8.00%</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Projected salary increases</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4.00%</w:t>
      </w:r>
    </w:p>
    <w:p w:rsidR="00414FF5" w:rsidRDefault="00414FF5" w:rsidP="00083169">
      <w:pPr>
        <w:widowControl w:val="0"/>
        <w:autoSpaceDE w:val="0"/>
        <w:autoSpaceDN w:val="0"/>
        <w:adjustRightInd w:val="0"/>
        <w:spacing w:after="0" w:line="218" w:lineRule="exact"/>
        <w:ind w:left="4880" w:hanging="4875"/>
        <w:jc w:val="both"/>
        <w:rPr>
          <w:rFonts w:ascii="Times New Roman" w:hAnsi="Times New Roman"/>
          <w:color w:val="2B2A29"/>
          <w:sz w:val="20"/>
          <w:szCs w:val="19"/>
        </w:rPr>
      </w:pPr>
      <w:r>
        <w:rPr>
          <w:rFonts w:ascii="Times New Roman" w:hAnsi="Times New Roman"/>
          <w:color w:val="2B2A29"/>
          <w:sz w:val="20"/>
          <w:szCs w:val="19"/>
        </w:rPr>
        <w:t>Cost-of-living adjustments</w:t>
      </w:r>
      <w:r>
        <w:rPr>
          <w:rFonts w:ascii="Times New Roman" w:hAnsi="Times New Roman"/>
          <w:color w:val="2B2A29"/>
          <w:sz w:val="20"/>
          <w:szCs w:val="19"/>
        </w:rPr>
        <w:tab/>
        <w:t xml:space="preserve">3.25% </w:t>
      </w:r>
      <w:r w:rsidR="00083169">
        <w:rPr>
          <w:rFonts w:ascii="Times New Roman" w:hAnsi="Times New Roman"/>
          <w:color w:val="2B2A29"/>
          <w:sz w:val="20"/>
          <w:szCs w:val="19"/>
        </w:rPr>
        <w:t>per year for certain members hired prior to</w:t>
      </w:r>
    </w:p>
    <w:p w:rsidR="00083169" w:rsidRDefault="00083169" w:rsidP="00083169">
      <w:pPr>
        <w:widowControl w:val="0"/>
        <w:autoSpaceDE w:val="0"/>
        <w:autoSpaceDN w:val="0"/>
        <w:adjustRightInd w:val="0"/>
        <w:spacing w:after="0" w:line="218" w:lineRule="exact"/>
        <w:ind w:left="4880" w:hanging="4875"/>
        <w:jc w:val="both"/>
        <w:rPr>
          <w:rFonts w:ascii="Times New Roman" w:hAnsi="Times New Roman"/>
          <w:color w:val="2B2A29"/>
          <w:sz w:val="20"/>
          <w:szCs w:val="19"/>
        </w:rPr>
      </w:pPr>
      <w:r>
        <w:rPr>
          <w:rFonts w:ascii="Times New Roman" w:hAnsi="Times New Roman"/>
          <w:color w:val="2B2A29"/>
          <w:sz w:val="20"/>
          <w:szCs w:val="19"/>
        </w:rPr>
        <w:tab/>
        <w:t xml:space="preserve">July 30, 1979 and for spouses benefits subject </w:t>
      </w:r>
    </w:p>
    <w:p w:rsidR="00083169" w:rsidRDefault="00083169" w:rsidP="00083169">
      <w:pPr>
        <w:widowControl w:val="0"/>
        <w:autoSpaceDE w:val="0"/>
        <w:autoSpaceDN w:val="0"/>
        <w:adjustRightInd w:val="0"/>
        <w:spacing w:after="0" w:line="218" w:lineRule="exact"/>
        <w:ind w:left="4880" w:hanging="4875"/>
        <w:jc w:val="both"/>
        <w:rPr>
          <w:rFonts w:ascii="Times New Roman" w:hAnsi="Times New Roman"/>
          <w:color w:val="2B2A29"/>
          <w:sz w:val="20"/>
          <w:szCs w:val="19"/>
        </w:rPr>
      </w:pPr>
      <w:r>
        <w:rPr>
          <w:rFonts w:ascii="Times New Roman" w:hAnsi="Times New Roman"/>
          <w:color w:val="2B2A29"/>
          <w:sz w:val="20"/>
          <w:szCs w:val="19"/>
        </w:rPr>
        <w:tab/>
        <w:t xml:space="preserve">to increase. </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p>
    <w:p w:rsidR="0048430D" w:rsidRDefault="0048430D" w:rsidP="00430832">
      <w:pPr>
        <w:widowControl w:val="0"/>
        <w:autoSpaceDE w:val="0"/>
        <w:autoSpaceDN w:val="0"/>
        <w:adjustRightInd w:val="0"/>
        <w:spacing w:after="0" w:line="218" w:lineRule="exact"/>
        <w:jc w:val="both"/>
        <w:rPr>
          <w:rFonts w:ascii="Times New Roman" w:hAnsi="Times New Roman"/>
          <w:color w:val="2B2A29"/>
          <w:sz w:val="20"/>
          <w:szCs w:val="19"/>
        </w:rPr>
      </w:pPr>
    </w:p>
    <w:p w:rsidR="0048430D" w:rsidRDefault="0048430D" w:rsidP="00430832">
      <w:pPr>
        <w:widowControl w:val="0"/>
        <w:autoSpaceDE w:val="0"/>
        <w:autoSpaceDN w:val="0"/>
        <w:adjustRightInd w:val="0"/>
        <w:spacing w:after="0" w:line="218" w:lineRule="exact"/>
        <w:jc w:val="both"/>
        <w:rPr>
          <w:rFonts w:ascii="Times New Roman" w:hAnsi="Times New Roman"/>
          <w:color w:val="2B2A29"/>
          <w:sz w:val="20"/>
          <w:szCs w:val="19"/>
        </w:rPr>
      </w:pPr>
    </w:p>
    <w:p w:rsidR="0048430D" w:rsidRDefault="0048430D"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b/>
      </w:r>
      <w:r>
        <w:rPr>
          <w:rFonts w:ascii="Times New Roman" w:hAnsi="Times New Roman"/>
          <w:color w:val="2B2A29"/>
          <w:sz w:val="20"/>
          <w:szCs w:val="19"/>
        </w:rPr>
        <w:tab/>
        <w:t xml:space="preserve">*Actuarial value of assets was set equal to the market value on September 30, 2012. </w:t>
      </w:r>
    </w:p>
    <w:p w:rsidR="0048430D" w:rsidRPr="00313C4B" w:rsidRDefault="0048430D"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Smoothing will commence again in future years.</w:t>
      </w:r>
    </w:p>
    <w:sectPr w:rsidR="0048430D" w:rsidRPr="00313C4B"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6D2" w:rsidRDefault="00DA36D2" w:rsidP="00192305">
      <w:pPr>
        <w:spacing w:after="0" w:line="240" w:lineRule="auto"/>
      </w:pPr>
      <w:r>
        <w:separator/>
      </w:r>
    </w:p>
  </w:endnote>
  <w:endnote w:type="continuationSeparator" w:id="0">
    <w:p w:rsidR="00DA36D2" w:rsidRDefault="00DA36D2"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6D2" w:rsidRDefault="00DA36D2" w:rsidP="00192305">
      <w:pPr>
        <w:spacing w:after="0" w:line="240" w:lineRule="auto"/>
      </w:pPr>
      <w:r>
        <w:separator/>
      </w:r>
    </w:p>
  </w:footnote>
  <w:footnote w:type="continuationSeparator" w:id="0">
    <w:p w:rsidR="00DA36D2" w:rsidRDefault="00DA36D2"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6D"/>
    <w:rsid w:val="00063694"/>
    <w:rsid w:val="00083169"/>
    <w:rsid w:val="00192305"/>
    <w:rsid w:val="00301BFB"/>
    <w:rsid w:val="00313C4B"/>
    <w:rsid w:val="003A44CC"/>
    <w:rsid w:val="00414FF5"/>
    <w:rsid w:val="00430832"/>
    <w:rsid w:val="0048430D"/>
    <w:rsid w:val="004A0FCC"/>
    <w:rsid w:val="004D2C3B"/>
    <w:rsid w:val="005414E6"/>
    <w:rsid w:val="00576279"/>
    <w:rsid w:val="005A6B4F"/>
    <w:rsid w:val="005C5C7B"/>
    <w:rsid w:val="00767766"/>
    <w:rsid w:val="008C04AB"/>
    <w:rsid w:val="008C6D6D"/>
    <w:rsid w:val="008E3523"/>
    <w:rsid w:val="009047CF"/>
    <w:rsid w:val="00926FA1"/>
    <w:rsid w:val="009376A7"/>
    <w:rsid w:val="00950F23"/>
    <w:rsid w:val="00986CC7"/>
    <w:rsid w:val="00A26B59"/>
    <w:rsid w:val="00A64045"/>
    <w:rsid w:val="00A6437C"/>
    <w:rsid w:val="00A940AE"/>
    <w:rsid w:val="00AC460A"/>
    <w:rsid w:val="00BA0E5F"/>
    <w:rsid w:val="00BE2777"/>
    <w:rsid w:val="00C146E6"/>
    <w:rsid w:val="00CB4E29"/>
    <w:rsid w:val="00DA36D2"/>
    <w:rsid w:val="00E10B6E"/>
    <w:rsid w:val="00EA520C"/>
    <w:rsid w:val="00F16F07"/>
    <w:rsid w:val="00F3678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10238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4</cp:revision>
  <cp:lastPrinted>2017-02-24T21:55:00Z</cp:lastPrinted>
  <dcterms:created xsi:type="dcterms:W3CDTF">2017-02-24T21:56:00Z</dcterms:created>
  <dcterms:modified xsi:type="dcterms:W3CDTF">2017-02-24T21:56:00Z</dcterms:modified>
</cp:coreProperties>
</file>