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(No Other Nonemployer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054C18B7"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w:t>
      </w:r>
      <w:r w:rsidR="00A7777A">
        <w:rPr>
          <w:rFonts w:ascii="Times New Roman" w:eastAsia="Calibri" w:hAnsi="Times New Roman"/>
          <w:b/>
          <w:bCs/>
          <w:sz w:val="20"/>
          <w:szCs w:val="20"/>
        </w:rPr>
        <w:t>2</w:t>
      </w:r>
      <w:r w:rsidR="00D85BDA">
        <w:rPr>
          <w:rFonts w:ascii="Times New Roman" w:eastAsia="Calibri" w:hAnsi="Times New Roman"/>
          <w:b/>
          <w:bCs/>
          <w:sz w:val="20"/>
          <w:szCs w:val="20"/>
        </w:rPr>
        <w:t>4</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1747BD8D"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w:t>
      </w:r>
      <w:r w:rsidR="0056508D">
        <w:rPr>
          <w:rFonts w:ascii="Times New Roman" w:hAnsi="Times New Roman"/>
          <w:sz w:val="20"/>
          <w:szCs w:val="20"/>
        </w:rPr>
        <w:t xml:space="preserve">Annual </w:t>
      </w:r>
      <w:r w:rsidRPr="0055419F">
        <w:rPr>
          <w:rFonts w:ascii="Times New Roman" w:hAnsi="Times New Roman"/>
          <w:sz w:val="20"/>
          <w:szCs w:val="20"/>
        </w:rPr>
        <w:t xml:space="preserve">Comprehensive </w:t>
      </w:r>
      <w:r w:rsidR="0056508D">
        <w:rPr>
          <w:rFonts w:ascii="Times New Roman" w:hAnsi="Times New Roman"/>
          <w:sz w:val="20"/>
          <w:szCs w:val="20"/>
        </w:rPr>
        <w:t>Financial</w:t>
      </w:r>
      <w:r w:rsidRPr="0055419F">
        <w:rPr>
          <w:rFonts w:ascii="Times New Roman" w:hAnsi="Times New Roman"/>
          <w:sz w:val="20"/>
          <w:szCs w:val="20"/>
        </w:rPr>
        <w:t xml:space="preserve">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35C103FE"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w:t>
      </w:r>
      <w:r w:rsidR="0056508D">
        <w:rPr>
          <w:rFonts w:ascii="Times New Roman" w:hAnsi="Times New Roman"/>
          <w:sz w:val="20"/>
          <w:szCs w:val="20"/>
        </w:rPr>
        <w:t xml:space="preserve"> The </w:t>
      </w:r>
      <w:r w:rsidR="0056508D" w:rsidRPr="00664870">
        <w:rPr>
          <w:rFonts w:ascii="Times New Roman" w:hAnsi="Times New Roman"/>
          <w:i/>
          <w:sz w:val="20"/>
          <w:szCs w:val="20"/>
        </w:rPr>
        <w:t>Code of Alabama 1975, Title 12, Chapter</w:t>
      </w:r>
      <w:r w:rsidR="0056508D">
        <w:rPr>
          <w:rFonts w:ascii="Times New Roman" w:hAnsi="Times New Roman"/>
          <w:i/>
          <w:sz w:val="20"/>
          <w:szCs w:val="20"/>
        </w:rPr>
        <w:t xml:space="preserve"> 18, Article 7 </w:t>
      </w:r>
      <w:r w:rsidR="0056508D">
        <w:rPr>
          <w:rFonts w:ascii="Times New Roman" w:hAnsi="Times New Roman"/>
          <w:iCs/>
          <w:sz w:val="20"/>
          <w:szCs w:val="20"/>
        </w:rPr>
        <w:t xml:space="preserve">(Act 498 of the Legislature of 2015) established the Judges’ and Clerks’ Plan within the JRF for any Judge or Clerk elected on appointed on or after November 8, 2016, and was not a member of the JRF or the Clerks’ and Registers’ Supernumerary Fund prior to that date. The </w:t>
      </w:r>
      <w:r w:rsidR="0056508D" w:rsidRPr="00664870">
        <w:rPr>
          <w:rFonts w:ascii="Times New Roman" w:hAnsi="Times New Roman"/>
          <w:i/>
          <w:sz w:val="20"/>
          <w:szCs w:val="20"/>
        </w:rPr>
        <w:t xml:space="preserve">Code of Alabama 1975, </w:t>
      </w:r>
      <w:r w:rsidR="0056508D">
        <w:rPr>
          <w:rFonts w:ascii="Times New Roman" w:hAnsi="Times New Roman"/>
          <w:i/>
          <w:sz w:val="20"/>
          <w:szCs w:val="20"/>
        </w:rPr>
        <w:t xml:space="preserve">Section 12-17-22 </w:t>
      </w:r>
      <w:r w:rsidR="0056508D">
        <w:rPr>
          <w:rFonts w:ascii="Times New Roman" w:hAnsi="Times New Roman"/>
          <w:iCs/>
          <w:sz w:val="20"/>
          <w:szCs w:val="20"/>
        </w:rPr>
        <w:t>(Act 498 of the Legislature of 2015) established the District Attorneys’ Plan within the JRF for any District Attorney servicing in the capacity of District Attorney on or after November 8, 2016.</w:t>
      </w:r>
      <w:r w:rsidRPr="00664870">
        <w:rPr>
          <w:rFonts w:ascii="Times New Roman" w:hAnsi="Times New Roman"/>
          <w:sz w:val="20"/>
          <w:szCs w:val="20"/>
        </w:rPr>
        <w:t xml:space="preserve">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 xml:space="preserve">issues a publicly available financial report that can be obtained at </w:t>
      </w:r>
      <w:hyperlink r:id="rId6" w:history="1">
        <w:r w:rsidR="00E347AC" w:rsidRPr="00D11B2A">
          <w:rPr>
            <w:rStyle w:val="Hyperlink"/>
            <w:rFonts w:ascii="Times New Roman" w:hAnsi="Times New Roman"/>
            <w:sz w:val="20"/>
            <w:szCs w:val="20"/>
          </w:rPr>
          <w:t>www.rsa-al.gov</w:t>
        </w:r>
      </w:hyperlink>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particular office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w:t>
      </w:r>
      <w:r w:rsidR="005414E6" w:rsidRPr="0055419F">
        <w:rPr>
          <w:rFonts w:ascii="Times New Roman" w:hAnsi="Times New Roman"/>
          <w:sz w:val="20"/>
          <w:szCs w:val="20"/>
        </w:rPr>
        <w:lastRenderedPageBreak/>
        <w:t>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bookmarkStart w:id="2" w:name="_Hlk109306718"/>
      <w:r>
        <w:rPr>
          <w:color w:val="auto"/>
        </w:rPr>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bookmarkEnd w:id="2"/>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3" w:name="Pg233"/>
      <w:bookmarkEnd w:id="3"/>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60DCEB59"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F06DE6">
        <w:rPr>
          <w:rFonts w:ascii="Times New Roman" w:hAnsi="Times New Roman"/>
          <w:color w:val="2B2A29"/>
          <w:spacing w:val="-2"/>
          <w:sz w:val="20"/>
          <w:szCs w:val="20"/>
        </w:rPr>
        <w:t>4</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3F1C058E"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F06DE6">
        <w:rPr>
          <w:rFonts w:ascii="Times New Roman" w:hAnsi="Times New Roman"/>
          <w:color w:val="2B2A29"/>
          <w:spacing w:val="-2"/>
          <w:sz w:val="20"/>
          <w:szCs w:val="20"/>
        </w:rPr>
        <w:t>3</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E62F17">
        <w:rPr>
          <w:rFonts w:ascii="Times New Roman" w:hAnsi="Times New Roman"/>
          <w:color w:val="2B2A29"/>
          <w:spacing w:val="-2"/>
          <w:sz w:val="20"/>
          <w:szCs w:val="20"/>
        </w:rPr>
        <w:t>2</w:t>
      </w:r>
      <w:r w:rsidR="00F06DE6">
        <w:rPr>
          <w:rFonts w:ascii="Times New Roman" w:hAnsi="Times New Roman"/>
          <w:color w:val="2B2A29"/>
          <w:spacing w:val="-2"/>
          <w:sz w:val="20"/>
          <w:szCs w:val="20"/>
        </w:rPr>
        <w:t>2</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F06DE6">
        <w:rPr>
          <w:rFonts w:ascii="Times New Roman" w:hAnsi="Times New Roman"/>
          <w:color w:val="2B2A29"/>
          <w:spacing w:val="-2"/>
          <w:sz w:val="20"/>
          <w:szCs w:val="20"/>
        </w:rPr>
        <w:t>3</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w:t>
      </w:r>
      <w:r w:rsidR="00F06DE6">
        <w:rPr>
          <w:rFonts w:ascii="Times New Roman" w:hAnsi="Times New Roman"/>
          <w:color w:val="2B2A29"/>
          <w:spacing w:val="-2"/>
          <w:sz w:val="20"/>
          <w:szCs w:val="20"/>
        </w:rPr>
        <w:t>3</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015EB726"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F06DE6">
        <w:rPr>
          <w:rFonts w:ascii="Times New Roman" w:hAnsi="Times New Roman"/>
          <w:color w:val="2B2A29"/>
          <w:spacing w:val="-2"/>
          <w:sz w:val="20"/>
          <w:szCs w:val="20"/>
        </w:rPr>
        <w:t>4</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4" w:name="Pg235"/>
      <w:bookmarkEnd w:id="4"/>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36E668B1"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w:t>
      </w:r>
      <w:r w:rsidR="00E62F17">
        <w:rPr>
          <w:sz w:val="20"/>
          <w:szCs w:val="20"/>
        </w:rPr>
        <w:t>2</w:t>
      </w:r>
      <w:r w:rsidR="00F06DE6">
        <w:rPr>
          <w:sz w:val="20"/>
          <w:szCs w:val="20"/>
        </w:rPr>
        <w:t>2</w:t>
      </w:r>
      <w:r w:rsidRPr="0055419F">
        <w:rPr>
          <w:sz w:val="20"/>
          <w:szCs w:val="20"/>
        </w:rPr>
        <w:t xml:space="preserve">, using the following actuarial assumptions, applied to all periods included in the measurement: </w:t>
      </w:r>
    </w:p>
    <w:p w14:paraId="6BDB2665" w14:textId="77777777" w:rsidR="00664870" w:rsidRDefault="004E02C2"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93.75pt;height:88.7pt;z-index:251659264;mso-position-horizontal-relative:text;mso-position-vertical-relative:text">
            <v:imagedata r:id="rId7" o:title=""/>
            <o:lock v:ext="edit" aspectratio="f"/>
          </v:shape>
          <o:OLEObject Type="Embed" ProgID="Excel.Sheet.12" ShapeID="_x0000_s1026" DrawAspect="Content" ObjectID="_1769243022" r:id="rId8"/>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CF2E517" w14:textId="1ACD7734" w:rsidR="00C07134"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w:t>
      </w:r>
      <w:r w:rsidR="00C07134">
        <w:rPr>
          <w:sz w:val="20"/>
          <w:szCs w:val="20"/>
        </w:rPr>
        <w:t>2</w:t>
      </w:r>
      <w:r w:rsidR="00F06DE6">
        <w:rPr>
          <w:sz w:val="20"/>
          <w:szCs w:val="20"/>
        </w:rPr>
        <w:t>2</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w:t>
      </w:r>
      <w:r w:rsidR="00C07134">
        <w:rPr>
          <w:sz w:val="20"/>
          <w:szCs w:val="20"/>
        </w:rPr>
        <w:t>2</w:t>
      </w:r>
      <w:r w:rsidR="00C07134" w:rsidRPr="00F06DE6">
        <w:rPr>
          <w:sz w:val="20"/>
          <w:szCs w:val="20"/>
        </w:rPr>
        <w:t>0</w:t>
      </w:r>
      <w:r w:rsidRPr="0055419F">
        <w:rPr>
          <w:sz w:val="20"/>
          <w:szCs w:val="20"/>
        </w:rPr>
        <w:t>. The Board of Control accepted and approved these changes</w:t>
      </w:r>
      <w:r w:rsidR="00664870">
        <w:rPr>
          <w:sz w:val="20"/>
          <w:szCs w:val="20"/>
        </w:rPr>
        <w:t xml:space="preserve"> in September 20</w:t>
      </w:r>
      <w:r w:rsidR="00C07134">
        <w:rPr>
          <w:sz w:val="20"/>
          <w:szCs w:val="20"/>
        </w:rPr>
        <w:t>21</w:t>
      </w:r>
      <w:r w:rsidRPr="0055419F">
        <w:rPr>
          <w:sz w:val="20"/>
          <w:szCs w:val="20"/>
        </w:rPr>
        <w:t>, which became effective at the beginning of fiscal year</w:t>
      </w:r>
      <w:r w:rsidR="005A2583">
        <w:rPr>
          <w:sz w:val="20"/>
          <w:szCs w:val="20"/>
        </w:rPr>
        <w:t xml:space="preserve"> </w:t>
      </w:r>
      <w:r w:rsidR="007663EA">
        <w:rPr>
          <w:sz w:val="20"/>
          <w:szCs w:val="20"/>
        </w:rPr>
        <w:t>20</w:t>
      </w:r>
      <w:r w:rsidR="00C07134">
        <w:rPr>
          <w:sz w:val="20"/>
          <w:szCs w:val="20"/>
        </w:rPr>
        <w:t>21</w:t>
      </w:r>
      <w:r w:rsidRPr="0055419F">
        <w:rPr>
          <w:sz w:val="20"/>
          <w:szCs w:val="20"/>
        </w:rPr>
        <w:t>.</w:t>
      </w:r>
    </w:p>
    <w:p w14:paraId="72F225A3" w14:textId="77777777" w:rsidR="00C07134" w:rsidRDefault="00C07134" w:rsidP="00664870">
      <w:pPr>
        <w:pStyle w:val="Default"/>
        <w:jc w:val="both"/>
        <w:rPr>
          <w:sz w:val="20"/>
          <w:szCs w:val="20"/>
        </w:rPr>
      </w:pPr>
    </w:p>
    <w:p w14:paraId="7D686CDC" w14:textId="77777777" w:rsidR="00C07134" w:rsidRPr="00C07134" w:rsidRDefault="00C07134" w:rsidP="00C07134">
      <w:pPr>
        <w:pStyle w:val="Default"/>
        <w:jc w:val="both"/>
        <w:rPr>
          <w:sz w:val="20"/>
          <w:szCs w:val="20"/>
        </w:rPr>
      </w:pPr>
      <w:r w:rsidRPr="00C07134">
        <w:rPr>
          <w:sz w:val="20"/>
          <w:szCs w:val="20"/>
        </w:rPr>
        <w:t>Mortality rates were based on the Pub-2010 Teacher tables with the following adjustments, projected</w:t>
      </w:r>
    </w:p>
    <w:p w14:paraId="2A253447" w14:textId="77777777" w:rsidR="00C07134" w:rsidRPr="00C07134" w:rsidRDefault="00C07134" w:rsidP="00C07134">
      <w:pPr>
        <w:pStyle w:val="Default"/>
        <w:jc w:val="both"/>
        <w:rPr>
          <w:sz w:val="20"/>
          <w:szCs w:val="20"/>
        </w:rPr>
      </w:pPr>
      <w:r w:rsidRPr="00C07134">
        <w:rPr>
          <w:sz w:val="20"/>
          <w:szCs w:val="20"/>
        </w:rPr>
        <w:t>generationally using scale MP-2020 adjusted by 66-2/3% beginning with year 2019:</w:t>
      </w:r>
    </w:p>
    <w:p w14:paraId="4D8F2388" w14:textId="594213CF" w:rsidR="005414E6" w:rsidRDefault="005414E6" w:rsidP="00664870">
      <w:pPr>
        <w:pStyle w:val="Default"/>
        <w:jc w:val="both"/>
        <w:rPr>
          <w:sz w:val="20"/>
          <w:szCs w:val="20"/>
        </w:rPr>
      </w:pPr>
    </w:p>
    <w:tbl>
      <w:tblPr>
        <w:tblW w:w="0" w:type="auto"/>
        <w:tblInd w:w="95" w:type="dxa"/>
        <w:tblLayout w:type="fixed"/>
        <w:tblCellMar>
          <w:left w:w="0" w:type="dxa"/>
          <w:right w:w="0" w:type="dxa"/>
        </w:tblCellMar>
        <w:tblLook w:val="0000" w:firstRow="0" w:lastRow="0" w:firstColumn="0" w:lastColumn="0" w:noHBand="0" w:noVBand="0"/>
      </w:tblPr>
      <w:tblGrid>
        <w:gridCol w:w="1887"/>
        <w:gridCol w:w="2160"/>
        <w:gridCol w:w="2610"/>
        <w:gridCol w:w="2719"/>
      </w:tblGrid>
      <w:tr w:rsidR="00C07134" w:rsidRPr="00C07134" w14:paraId="631B1EC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13CFA2F6" w14:textId="77777777" w:rsidR="00C07134" w:rsidRPr="00C07134" w:rsidRDefault="00C07134" w:rsidP="00C07134">
            <w:pPr>
              <w:kinsoku w:val="0"/>
              <w:overflowPunct w:val="0"/>
              <w:autoSpaceDE w:val="0"/>
              <w:autoSpaceDN w:val="0"/>
              <w:adjustRightInd w:val="0"/>
              <w:spacing w:before="3" w:after="0" w:line="240" w:lineRule="auto"/>
              <w:ind w:right="2"/>
              <w:jc w:val="center"/>
              <w:rPr>
                <w:rFonts w:ascii="Times New Roman" w:hAnsi="Times New Roman"/>
                <w:sz w:val="24"/>
                <w:szCs w:val="24"/>
              </w:rPr>
            </w:pPr>
            <w:r w:rsidRPr="00C07134">
              <w:rPr>
                <w:rFonts w:ascii="Times New Roman" w:hAnsi="Times New Roman"/>
                <w:b/>
                <w:bCs/>
                <w:sz w:val="20"/>
                <w:szCs w:val="20"/>
                <w:u w:val="single"/>
              </w:rPr>
              <w:t>Group</w:t>
            </w:r>
          </w:p>
        </w:tc>
        <w:tc>
          <w:tcPr>
            <w:tcW w:w="2160" w:type="dxa"/>
            <w:tcBorders>
              <w:top w:val="single" w:sz="4" w:space="0" w:color="000000"/>
              <w:left w:val="single" w:sz="4" w:space="0" w:color="000000"/>
              <w:bottom w:val="single" w:sz="4" w:space="0" w:color="000000"/>
              <w:right w:val="single" w:sz="4" w:space="0" w:color="000000"/>
            </w:tcBorders>
          </w:tcPr>
          <w:p w14:paraId="1FAB6FA4" w14:textId="77777777" w:rsidR="00C07134" w:rsidRPr="00C07134" w:rsidRDefault="00C07134" w:rsidP="00C07134">
            <w:pPr>
              <w:kinsoku w:val="0"/>
              <w:overflowPunct w:val="0"/>
              <w:autoSpaceDE w:val="0"/>
              <w:autoSpaceDN w:val="0"/>
              <w:adjustRightInd w:val="0"/>
              <w:spacing w:before="3" w:after="0" w:line="240" w:lineRule="auto"/>
              <w:ind w:left="273"/>
              <w:rPr>
                <w:rFonts w:ascii="Times New Roman" w:hAnsi="Times New Roman"/>
                <w:sz w:val="24"/>
                <w:szCs w:val="24"/>
              </w:rPr>
            </w:pPr>
            <w:r w:rsidRPr="00C07134">
              <w:rPr>
                <w:rFonts w:ascii="Times New Roman" w:hAnsi="Times New Roman"/>
                <w:b/>
                <w:bCs/>
                <w:sz w:val="20"/>
                <w:szCs w:val="20"/>
                <w:u w:val="single"/>
              </w:rPr>
              <w:t>Membership</w:t>
            </w:r>
            <w:r w:rsidRPr="00C07134">
              <w:rPr>
                <w:rFonts w:ascii="Times New Roman" w:hAnsi="Times New Roman"/>
                <w:b/>
                <w:bCs/>
                <w:spacing w:val="-8"/>
                <w:sz w:val="20"/>
                <w:szCs w:val="20"/>
                <w:u w:val="single"/>
              </w:rPr>
              <w:t xml:space="preserve"> </w:t>
            </w:r>
            <w:r w:rsidRPr="00C07134">
              <w:rPr>
                <w:rFonts w:ascii="Times New Roman" w:hAnsi="Times New Roman"/>
                <w:b/>
                <w:bCs/>
                <w:sz w:val="20"/>
                <w:szCs w:val="20"/>
                <w:u w:val="single"/>
              </w:rPr>
              <w:t>Table</w:t>
            </w:r>
          </w:p>
        </w:tc>
        <w:tc>
          <w:tcPr>
            <w:tcW w:w="2610" w:type="dxa"/>
            <w:tcBorders>
              <w:top w:val="single" w:sz="4" w:space="0" w:color="000000"/>
              <w:left w:val="single" w:sz="4" w:space="0" w:color="000000"/>
              <w:bottom w:val="single" w:sz="4" w:space="0" w:color="000000"/>
              <w:right w:val="single" w:sz="4" w:space="0" w:color="000000"/>
            </w:tcBorders>
          </w:tcPr>
          <w:p w14:paraId="0EE6A9DE" w14:textId="77777777" w:rsidR="00C07134" w:rsidRPr="00C07134" w:rsidRDefault="00C07134" w:rsidP="00C07134">
            <w:pPr>
              <w:kinsoku w:val="0"/>
              <w:overflowPunct w:val="0"/>
              <w:autoSpaceDE w:val="0"/>
              <w:autoSpaceDN w:val="0"/>
              <w:adjustRightInd w:val="0"/>
              <w:spacing w:before="3" w:after="0" w:line="240" w:lineRule="auto"/>
              <w:ind w:left="122"/>
              <w:rPr>
                <w:rFonts w:ascii="Times New Roman" w:hAnsi="Times New Roman"/>
                <w:sz w:val="24"/>
                <w:szCs w:val="24"/>
              </w:rPr>
            </w:pPr>
            <w:r w:rsidRPr="00C07134">
              <w:rPr>
                <w:rFonts w:ascii="Times New Roman" w:hAnsi="Times New Roman"/>
                <w:b/>
                <w:bCs/>
                <w:sz w:val="20"/>
                <w:szCs w:val="20"/>
                <w:u w:val="single"/>
              </w:rPr>
              <w:t>Set</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Forward(+)</w:t>
            </w:r>
            <w:r w:rsidRPr="00C07134">
              <w:rPr>
                <w:rFonts w:ascii="Times New Roman" w:hAnsi="Times New Roman"/>
                <w:b/>
                <w:bCs/>
                <w:spacing w:val="-12"/>
                <w:sz w:val="20"/>
                <w:szCs w:val="20"/>
                <w:u w:val="single"/>
              </w:rPr>
              <w:t xml:space="preserve"> </w:t>
            </w:r>
            <w:r w:rsidRPr="00C07134">
              <w:rPr>
                <w:rFonts w:ascii="Times New Roman" w:hAnsi="Times New Roman"/>
                <w:b/>
                <w:bCs/>
                <w:sz w:val="20"/>
                <w:szCs w:val="20"/>
                <w:u w:val="single"/>
              </w:rPr>
              <w:t>/</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Setback</w:t>
            </w:r>
            <w:r w:rsidRPr="00C07134">
              <w:rPr>
                <w:rFonts w:ascii="Times New Roman" w:hAnsi="Times New Roman"/>
                <w:b/>
                <w:bCs/>
                <w:spacing w:val="-11"/>
                <w:sz w:val="20"/>
                <w:szCs w:val="20"/>
                <w:u w:val="single"/>
              </w:rPr>
              <w:t xml:space="preserve"> </w:t>
            </w:r>
            <w:r w:rsidRPr="00C07134">
              <w:rPr>
                <w:rFonts w:ascii="Times New Roman" w:hAnsi="Times New Roman"/>
                <w:b/>
                <w:bCs/>
                <w:sz w:val="20"/>
                <w:szCs w:val="20"/>
                <w:u w:val="single"/>
              </w:rPr>
              <w:t>(-)</w:t>
            </w:r>
          </w:p>
        </w:tc>
        <w:tc>
          <w:tcPr>
            <w:tcW w:w="2719" w:type="dxa"/>
            <w:tcBorders>
              <w:top w:val="single" w:sz="4" w:space="0" w:color="000000"/>
              <w:left w:val="single" w:sz="4" w:space="0" w:color="000000"/>
              <w:bottom w:val="single" w:sz="4" w:space="0" w:color="000000"/>
              <w:right w:val="single" w:sz="4" w:space="0" w:color="000000"/>
            </w:tcBorders>
          </w:tcPr>
          <w:p w14:paraId="420F6178" w14:textId="77777777" w:rsidR="00C07134" w:rsidRPr="00C07134" w:rsidRDefault="00C07134" w:rsidP="00C07134">
            <w:pPr>
              <w:kinsoku w:val="0"/>
              <w:overflowPunct w:val="0"/>
              <w:autoSpaceDE w:val="0"/>
              <w:autoSpaceDN w:val="0"/>
              <w:adjustRightInd w:val="0"/>
              <w:spacing w:before="3" w:after="0" w:line="240" w:lineRule="auto"/>
              <w:ind w:left="494"/>
              <w:rPr>
                <w:rFonts w:ascii="Times New Roman" w:hAnsi="Times New Roman"/>
                <w:sz w:val="24"/>
                <w:szCs w:val="24"/>
              </w:rPr>
            </w:pPr>
            <w:r w:rsidRPr="00C07134">
              <w:rPr>
                <w:rFonts w:ascii="Times New Roman" w:hAnsi="Times New Roman"/>
                <w:b/>
                <w:bCs/>
                <w:sz w:val="20"/>
                <w:szCs w:val="20"/>
                <w:u w:val="single"/>
              </w:rPr>
              <w:t>Adjustment to</w:t>
            </w:r>
            <w:r w:rsidRPr="00C07134">
              <w:rPr>
                <w:rFonts w:ascii="Times New Roman" w:hAnsi="Times New Roman"/>
                <w:b/>
                <w:bCs/>
                <w:spacing w:val="-13"/>
                <w:sz w:val="20"/>
                <w:szCs w:val="20"/>
                <w:u w:val="single"/>
              </w:rPr>
              <w:t xml:space="preserve"> </w:t>
            </w:r>
            <w:r w:rsidRPr="00C07134">
              <w:rPr>
                <w:rFonts w:ascii="Times New Roman" w:hAnsi="Times New Roman"/>
                <w:b/>
                <w:bCs/>
                <w:sz w:val="20"/>
                <w:szCs w:val="20"/>
                <w:u w:val="single"/>
              </w:rPr>
              <w:t>Rates</w:t>
            </w:r>
          </w:p>
        </w:tc>
      </w:tr>
      <w:tr w:rsidR="00C07134" w:rsidRPr="00C07134" w14:paraId="271620E0" w14:textId="77777777">
        <w:trPr>
          <w:trHeight w:hRule="exact" w:val="962"/>
        </w:trPr>
        <w:tc>
          <w:tcPr>
            <w:tcW w:w="1887" w:type="dxa"/>
            <w:tcBorders>
              <w:top w:val="single" w:sz="4" w:space="0" w:color="000000"/>
              <w:left w:val="single" w:sz="4" w:space="0" w:color="000000"/>
              <w:bottom w:val="single" w:sz="4" w:space="0" w:color="000000"/>
              <w:right w:val="single" w:sz="4" w:space="0" w:color="000000"/>
            </w:tcBorders>
          </w:tcPr>
          <w:p w14:paraId="227948A9"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Service</w:t>
            </w:r>
            <w:r w:rsidRPr="00C07134">
              <w:rPr>
                <w:rFonts w:ascii="Times New Roman" w:hAnsi="Times New Roman"/>
                <w:spacing w:val="-5"/>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21E538FD" w14:textId="77777777" w:rsidR="00C07134" w:rsidRPr="00C07134" w:rsidRDefault="00C07134" w:rsidP="00C07134">
            <w:pPr>
              <w:kinsoku w:val="0"/>
              <w:overflowPunct w:val="0"/>
              <w:autoSpaceDE w:val="0"/>
              <w:autoSpaceDN w:val="0"/>
              <w:adjustRightInd w:val="0"/>
              <w:spacing w:after="0" w:line="276" w:lineRule="auto"/>
              <w:ind w:left="100" w:right="228"/>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35"/>
                <w:sz w:val="20"/>
                <w:szCs w:val="20"/>
              </w:rPr>
              <w:t xml:space="preserve"> </w:t>
            </w:r>
            <w:r w:rsidRPr="00C07134">
              <w:rPr>
                <w:rFonts w:ascii="Times New Roman" w:hAnsi="Times New Roman"/>
                <w:sz w:val="20"/>
                <w:szCs w:val="20"/>
              </w:rPr>
              <w:t>Retiree-Below</w:t>
            </w:r>
            <w:r w:rsidRPr="00C07134">
              <w:rPr>
                <w:rFonts w:ascii="Times New Roman" w:hAnsi="Times New Roman"/>
                <w:w w:val="99"/>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71C80139"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17"/>
                <w:sz w:val="20"/>
                <w:szCs w:val="20"/>
              </w:rPr>
              <w:t xml:space="preserve"> </w:t>
            </w:r>
            <w:r w:rsidRPr="00C07134">
              <w:rPr>
                <w:rFonts w:ascii="Times New Roman" w:hAnsi="Times New Roman"/>
                <w:sz w:val="20"/>
                <w:szCs w:val="20"/>
              </w:rPr>
              <w:t>+2</w:t>
            </w:r>
          </w:p>
        </w:tc>
        <w:tc>
          <w:tcPr>
            <w:tcW w:w="2719" w:type="dxa"/>
            <w:tcBorders>
              <w:top w:val="single" w:sz="4" w:space="0" w:color="000000"/>
              <w:left w:val="single" w:sz="4" w:space="0" w:color="000000"/>
              <w:bottom w:val="single" w:sz="4" w:space="0" w:color="000000"/>
              <w:right w:val="single" w:sz="4" w:space="0" w:color="000000"/>
            </w:tcBorders>
          </w:tcPr>
          <w:p w14:paraId="20E3D435" w14:textId="77777777" w:rsidR="00C07134" w:rsidRPr="00C07134" w:rsidRDefault="00C07134" w:rsidP="00C07134">
            <w:pPr>
              <w:kinsoku w:val="0"/>
              <w:overflowPunct w:val="0"/>
              <w:autoSpaceDE w:val="0"/>
              <w:autoSpaceDN w:val="0"/>
              <w:adjustRightInd w:val="0"/>
              <w:spacing w:after="0" w:line="240" w:lineRule="auto"/>
              <w:jc w:val="center"/>
              <w:rPr>
                <w:rFonts w:ascii="Times New Roman" w:hAnsi="Times New Roman"/>
                <w:sz w:val="18"/>
                <w:szCs w:val="18"/>
              </w:rPr>
            </w:pPr>
            <w:r w:rsidRPr="00C07134">
              <w:rPr>
                <w:rFonts w:ascii="Times New Roman" w:hAnsi="Times New Roman"/>
                <w:spacing w:val="-3"/>
                <w:sz w:val="18"/>
                <w:szCs w:val="18"/>
              </w:rPr>
              <w:t xml:space="preserve">Male: </w:t>
            </w:r>
            <w:r w:rsidRPr="00C07134">
              <w:rPr>
                <w:rFonts w:ascii="Times New Roman" w:hAnsi="Times New Roman"/>
                <w:sz w:val="18"/>
                <w:szCs w:val="18"/>
              </w:rPr>
              <w:t xml:space="preserve">108%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63, 96% </w:t>
            </w:r>
            <w:r w:rsidRPr="00C07134">
              <w:rPr>
                <w:rFonts w:ascii="Times New Roman" w:hAnsi="Times New Roman"/>
                <w:spacing w:val="-3"/>
                <w:sz w:val="18"/>
                <w:szCs w:val="18"/>
              </w:rPr>
              <w:t>ages</w:t>
            </w:r>
            <w:r w:rsidRPr="00C07134">
              <w:rPr>
                <w:rFonts w:ascii="Times New Roman" w:hAnsi="Times New Roman"/>
                <w:spacing w:val="-30"/>
                <w:sz w:val="18"/>
                <w:szCs w:val="18"/>
              </w:rPr>
              <w:t xml:space="preserve"> </w:t>
            </w:r>
            <w:r w:rsidRPr="00C07134">
              <w:rPr>
                <w:rFonts w:ascii="Times New Roman" w:hAnsi="Times New Roman"/>
                <w:sz w:val="18"/>
                <w:szCs w:val="18"/>
              </w:rPr>
              <w:t>&gt;</w:t>
            </w:r>
          </w:p>
          <w:p w14:paraId="5F50A954"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pacing w:val="-3"/>
                <w:sz w:val="18"/>
                <w:szCs w:val="18"/>
              </w:rPr>
            </w:pPr>
            <w:r w:rsidRPr="00C07134">
              <w:rPr>
                <w:rFonts w:ascii="Times New Roman" w:hAnsi="Times New Roman"/>
                <w:sz w:val="18"/>
                <w:szCs w:val="18"/>
              </w:rPr>
              <w:t xml:space="preserve">67; </w:t>
            </w:r>
            <w:r w:rsidRPr="00C07134">
              <w:rPr>
                <w:rFonts w:ascii="Times New Roman" w:hAnsi="Times New Roman"/>
                <w:spacing w:val="-3"/>
                <w:sz w:val="18"/>
                <w:szCs w:val="18"/>
              </w:rPr>
              <w:t xml:space="preserve">Phasing down </w:t>
            </w:r>
            <w:r w:rsidRPr="00C07134">
              <w:rPr>
                <w:rFonts w:ascii="Times New Roman" w:hAnsi="Times New Roman"/>
                <w:sz w:val="18"/>
                <w:szCs w:val="18"/>
              </w:rPr>
              <w:t>63 -67</w:t>
            </w:r>
            <w:r w:rsidRPr="00C07134">
              <w:rPr>
                <w:rFonts w:ascii="Times New Roman" w:hAnsi="Times New Roman"/>
                <w:spacing w:val="29"/>
                <w:sz w:val="18"/>
                <w:szCs w:val="18"/>
              </w:rPr>
              <w:t xml:space="preserve"> </w:t>
            </w:r>
            <w:r w:rsidRPr="00C07134">
              <w:rPr>
                <w:rFonts w:ascii="Times New Roman" w:hAnsi="Times New Roman"/>
                <w:spacing w:val="-3"/>
                <w:sz w:val="18"/>
                <w:szCs w:val="18"/>
              </w:rPr>
              <w:t>Female:</w:t>
            </w:r>
          </w:p>
          <w:p w14:paraId="347CDE92" w14:textId="77777777" w:rsidR="00C07134" w:rsidRPr="00C07134" w:rsidRDefault="00C07134" w:rsidP="00C07134">
            <w:pPr>
              <w:kinsoku w:val="0"/>
              <w:overflowPunct w:val="0"/>
              <w:autoSpaceDE w:val="0"/>
              <w:autoSpaceDN w:val="0"/>
              <w:adjustRightInd w:val="0"/>
              <w:spacing w:before="30" w:after="0" w:line="240" w:lineRule="auto"/>
              <w:ind w:left="2"/>
              <w:jc w:val="center"/>
              <w:rPr>
                <w:rFonts w:ascii="Times New Roman" w:hAnsi="Times New Roman"/>
                <w:sz w:val="18"/>
                <w:szCs w:val="18"/>
              </w:rPr>
            </w:pPr>
            <w:r w:rsidRPr="00C07134">
              <w:rPr>
                <w:rFonts w:ascii="Times New Roman" w:hAnsi="Times New Roman"/>
                <w:sz w:val="18"/>
                <w:szCs w:val="18"/>
              </w:rPr>
              <w:t xml:space="preserve">112% </w:t>
            </w:r>
            <w:r w:rsidRPr="00C07134">
              <w:rPr>
                <w:rFonts w:ascii="Times New Roman" w:hAnsi="Times New Roman"/>
                <w:spacing w:val="-3"/>
                <w:sz w:val="18"/>
                <w:szCs w:val="18"/>
              </w:rPr>
              <w:t xml:space="preserve">ages </w:t>
            </w:r>
            <w:r w:rsidRPr="00C07134">
              <w:rPr>
                <w:rFonts w:ascii="Times New Roman" w:hAnsi="Times New Roman"/>
                <w:sz w:val="18"/>
                <w:szCs w:val="18"/>
              </w:rPr>
              <w:t xml:space="preserve">&lt; 69 </w:t>
            </w:r>
            <w:r w:rsidRPr="00C07134">
              <w:rPr>
                <w:rFonts w:ascii="Times New Roman" w:hAnsi="Times New Roman"/>
                <w:spacing w:val="-2"/>
                <w:sz w:val="18"/>
                <w:szCs w:val="18"/>
              </w:rPr>
              <w:t xml:space="preserve">98% </w:t>
            </w:r>
            <w:r w:rsidRPr="00C07134">
              <w:rPr>
                <w:rFonts w:ascii="Times New Roman" w:hAnsi="Times New Roman"/>
                <w:sz w:val="18"/>
                <w:szCs w:val="18"/>
              </w:rPr>
              <w:t xml:space="preserve">&gt; </w:t>
            </w:r>
            <w:r w:rsidRPr="00C07134">
              <w:rPr>
                <w:rFonts w:ascii="Times New Roman" w:hAnsi="Times New Roman"/>
                <w:spacing w:val="-2"/>
                <w:sz w:val="18"/>
                <w:szCs w:val="18"/>
              </w:rPr>
              <w:t>age</w:t>
            </w:r>
            <w:r w:rsidRPr="00C07134">
              <w:rPr>
                <w:rFonts w:ascii="Times New Roman" w:hAnsi="Times New Roman"/>
                <w:spacing w:val="-29"/>
                <w:sz w:val="18"/>
                <w:szCs w:val="18"/>
              </w:rPr>
              <w:t xml:space="preserve"> </w:t>
            </w:r>
            <w:r w:rsidRPr="00C07134">
              <w:rPr>
                <w:rFonts w:ascii="Times New Roman" w:hAnsi="Times New Roman"/>
                <w:sz w:val="18"/>
                <w:szCs w:val="18"/>
              </w:rPr>
              <w:t>74</w:t>
            </w:r>
          </w:p>
          <w:p w14:paraId="357365D3" w14:textId="77777777" w:rsidR="00C07134" w:rsidRPr="00C07134" w:rsidRDefault="00C07134" w:rsidP="00C07134">
            <w:pPr>
              <w:kinsoku w:val="0"/>
              <w:overflowPunct w:val="0"/>
              <w:autoSpaceDE w:val="0"/>
              <w:autoSpaceDN w:val="0"/>
              <w:adjustRightInd w:val="0"/>
              <w:spacing w:before="30" w:after="0" w:line="240" w:lineRule="auto"/>
              <w:jc w:val="center"/>
              <w:rPr>
                <w:rFonts w:ascii="Times New Roman" w:hAnsi="Times New Roman"/>
                <w:sz w:val="24"/>
                <w:szCs w:val="24"/>
              </w:rPr>
            </w:pPr>
            <w:r w:rsidRPr="00C07134">
              <w:rPr>
                <w:rFonts w:ascii="Times New Roman" w:hAnsi="Times New Roman"/>
                <w:spacing w:val="-3"/>
                <w:sz w:val="18"/>
                <w:szCs w:val="18"/>
              </w:rPr>
              <w:t xml:space="preserve">Phasing </w:t>
            </w:r>
            <w:r w:rsidRPr="00C07134">
              <w:rPr>
                <w:rFonts w:ascii="Times New Roman" w:hAnsi="Times New Roman"/>
                <w:sz w:val="18"/>
                <w:szCs w:val="18"/>
              </w:rPr>
              <w:t>down</w:t>
            </w:r>
            <w:r w:rsidRPr="00C07134">
              <w:rPr>
                <w:rFonts w:ascii="Times New Roman" w:hAnsi="Times New Roman"/>
                <w:spacing w:val="-5"/>
                <w:sz w:val="18"/>
                <w:szCs w:val="18"/>
              </w:rPr>
              <w:t xml:space="preserve"> </w:t>
            </w:r>
            <w:r w:rsidRPr="00C07134">
              <w:rPr>
                <w:rFonts w:ascii="Times New Roman" w:hAnsi="Times New Roman"/>
                <w:spacing w:val="-3"/>
                <w:sz w:val="18"/>
                <w:szCs w:val="18"/>
              </w:rPr>
              <w:t>69-74</w:t>
            </w:r>
          </w:p>
        </w:tc>
      </w:tr>
      <w:tr w:rsidR="00C07134" w:rsidRPr="00C07134" w14:paraId="7F0CD869" w14:textId="77777777">
        <w:trPr>
          <w:trHeight w:hRule="exact" w:val="538"/>
        </w:trPr>
        <w:tc>
          <w:tcPr>
            <w:tcW w:w="1887" w:type="dxa"/>
            <w:tcBorders>
              <w:top w:val="single" w:sz="4" w:space="0" w:color="000000"/>
              <w:left w:val="single" w:sz="4" w:space="0" w:color="000000"/>
              <w:bottom w:val="single" w:sz="4" w:space="0" w:color="000000"/>
              <w:right w:val="single" w:sz="4" w:space="0" w:color="000000"/>
            </w:tcBorders>
          </w:tcPr>
          <w:p w14:paraId="16F8075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Beneficiaries</w:t>
            </w:r>
          </w:p>
        </w:tc>
        <w:tc>
          <w:tcPr>
            <w:tcW w:w="2160" w:type="dxa"/>
            <w:tcBorders>
              <w:top w:val="single" w:sz="4" w:space="0" w:color="000000"/>
              <w:left w:val="single" w:sz="4" w:space="0" w:color="000000"/>
              <w:bottom w:val="single" w:sz="4" w:space="0" w:color="000000"/>
              <w:right w:val="single" w:sz="4" w:space="0" w:color="000000"/>
            </w:tcBorders>
          </w:tcPr>
          <w:p w14:paraId="443D9561" w14:textId="77777777" w:rsidR="00C07134" w:rsidRPr="00C07134" w:rsidRDefault="00C07134" w:rsidP="00C07134">
            <w:pPr>
              <w:kinsoku w:val="0"/>
              <w:overflowPunct w:val="0"/>
              <w:autoSpaceDE w:val="0"/>
              <w:autoSpaceDN w:val="0"/>
              <w:adjustRightInd w:val="0"/>
              <w:spacing w:after="0" w:line="276" w:lineRule="auto"/>
              <w:ind w:left="100" w:right="446"/>
              <w:rPr>
                <w:rFonts w:ascii="Times New Roman" w:hAnsi="Times New Roman"/>
                <w:sz w:val="24"/>
                <w:szCs w:val="24"/>
              </w:rPr>
            </w:pPr>
            <w:r w:rsidRPr="00C07134">
              <w:rPr>
                <w:rFonts w:ascii="Times New Roman" w:hAnsi="Times New Roman"/>
                <w:spacing w:val="-3"/>
                <w:sz w:val="20"/>
                <w:szCs w:val="20"/>
              </w:rPr>
              <w:t>Contingent</w:t>
            </w:r>
            <w:r w:rsidRPr="00C07134">
              <w:rPr>
                <w:rFonts w:ascii="Times New Roman" w:hAnsi="Times New Roman"/>
                <w:spacing w:val="-13"/>
                <w:sz w:val="20"/>
                <w:szCs w:val="20"/>
              </w:rPr>
              <w:t xml:space="preserve"> </w:t>
            </w:r>
            <w:r w:rsidRPr="00C07134">
              <w:rPr>
                <w:rFonts w:ascii="Times New Roman" w:hAnsi="Times New Roman"/>
                <w:sz w:val="20"/>
                <w:szCs w:val="20"/>
              </w:rPr>
              <w:t>Survivor</w:t>
            </w:r>
            <w:r w:rsidRPr="00C07134">
              <w:rPr>
                <w:rFonts w:ascii="Times New Roman" w:hAnsi="Times New Roman"/>
                <w:w w:val="99"/>
                <w:sz w:val="20"/>
                <w:szCs w:val="20"/>
              </w:rPr>
              <w:t xml:space="preserve"> </w:t>
            </w:r>
            <w:r w:rsidRPr="00C07134">
              <w:rPr>
                <w:rFonts w:ascii="Times New Roman" w:hAnsi="Times New Roman"/>
                <w:spacing w:val="-3"/>
                <w:sz w:val="20"/>
                <w:szCs w:val="20"/>
              </w:rPr>
              <w:t>Below</w:t>
            </w:r>
            <w:r w:rsidRPr="00C07134">
              <w:rPr>
                <w:rFonts w:ascii="Times New Roman" w:hAnsi="Times New Roman"/>
                <w:spacing w:val="-4"/>
                <w:sz w:val="20"/>
                <w:szCs w:val="20"/>
              </w:rPr>
              <w:t xml:space="preserve"> </w:t>
            </w:r>
            <w:r w:rsidRPr="00C07134">
              <w:rPr>
                <w:rFonts w:ascii="Times New Roman" w:hAnsi="Times New Roman"/>
                <w:sz w:val="20"/>
                <w:szCs w:val="20"/>
              </w:rPr>
              <w:t>Median</w:t>
            </w:r>
          </w:p>
        </w:tc>
        <w:tc>
          <w:tcPr>
            <w:tcW w:w="2610" w:type="dxa"/>
            <w:tcBorders>
              <w:top w:val="single" w:sz="4" w:space="0" w:color="000000"/>
              <w:left w:val="single" w:sz="4" w:space="0" w:color="000000"/>
              <w:bottom w:val="single" w:sz="4" w:space="0" w:color="000000"/>
              <w:right w:val="single" w:sz="4" w:space="0" w:color="000000"/>
            </w:tcBorders>
          </w:tcPr>
          <w:p w14:paraId="099873BF"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+2, Female:</w:t>
            </w:r>
            <w:r w:rsidRPr="00C07134">
              <w:rPr>
                <w:rFonts w:ascii="Times New Roman" w:hAnsi="Times New Roman"/>
                <w:spacing w:val="-20"/>
                <w:sz w:val="20"/>
                <w:szCs w:val="20"/>
              </w:rPr>
              <w:t xml:space="preserve"> </w:t>
            </w:r>
            <w:r w:rsidRPr="00C07134">
              <w:rPr>
                <w:rFonts w:ascii="Times New Roman" w:hAnsi="Times New Roman"/>
                <w:sz w:val="20"/>
                <w:szCs w:val="20"/>
              </w:rPr>
              <w:t>None</w:t>
            </w:r>
          </w:p>
        </w:tc>
        <w:tc>
          <w:tcPr>
            <w:tcW w:w="2719" w:type="dxa"/>
            <w:tcBorders>
              <w:top w:val="single" w:sz="4" w:space="0" w:color="000000"/>
              <w:left w:val="single" w:sz="4" w:space="0" w:color="000000"/>
              <w:bottom w:val="single" w:sz="4" w:space="0" w:color="000000"/>
              <w:right w:val="single" w:sz="4" w:space="0" w:color="000000"/>
            </w:tcBorders>
          </w:tcPr>
          <w:p w14:paraId="389D2122"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r w:rsidR="00C07134" w:rsidRPr="00C07134" w14:paraId="0D748E4B" w14:textId="77777777">
        <w:trPr>
          <w:trHeight w:hRule="exact" w:val="276"/>
        </w:trPr>
        <w:tc>
          <w:tcPr>
            <w:tcW w:w="1887" w:type="dxa"/>
            <w:tcBorders>
              <w:top w:val="single" w:sz="4" w:space="0" w:color="000000"/>
              <w:left w:val="single" w:sz="4" w:space="0" w:color="000000"/>
              <w:bottom w:val="single" w:sz="4" w:space="0" w:color="000000"/>
              <w:right w:val="single" w:sz="4" w:space="0" w:color="000000"/>
            </w:tcBorders>
          </w:tcPr>
          <w:p w14:paraId="2AD723CA"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Disabled</w:t>
            </w:r>
            <w:r w:rsidRPr="00C07134">
              <w:rPr>
                <w:rFonts w:ascii="Times New Roman" w:hAnsi="Times New Roman"/>
                <w:spacing w:val="-8"/>
                <w:sz w:val="20"/>
                <w:szCs w:val="20"/>
              </w:rPr>
              <w:t xml:space="preserve"> </w:t>
            </w:r>
            <w:r w:rsidRPr="00C07134">
              <w:rPr>
                <w:rFonts w:ascii="Times New Roman" w:hAnsi="Times New Roman"/>
                <w:sz w:val="20"/>
                <w:szCs w:val="20"/>
              </w:rPr>
              <w:t>Retirees</w:t>
            </w:r>
          </w:p>
        </w:tc>
        <w:tc>
          <w:tcPr>
            <w:tcW w:w="2160" w:type="dxa"/>
            <w:tcBorders>
              <w:top w:val="single" w:sz="4" w:space="0" w:color="000000"/>
              <w:left w:val="single" w:sz="4" w:space="0" w:color="000000"/>
              <w:bottom w:val="single" w:sz="4" w:space="0" w:color="000000"/>
              <w:right w:val="single" w:sz="4" w:space="0" w:color="000000"/>
            </w:tcBorders>
          </w:tcPr>
          <w:p w14:paraId="1A84C8BD"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Teacher</w:t>
            </w:r>
            <w:r w:rsidRPr="00C07134">
              <w:rPr>
                <w:rFonts w:ascii="Times New Roman" w:hAnsi="Times New Roman"/>
                <w:spacing w:val="-7"/>
                <w:sz w:val="20"/>
                <w:szCs w:val="20"/>
              </w:rPr>
              <w:t xml:space="preserve"> </w:t>
            </w:r>
            <w:r w:rsidRPr="00C07134">
              <w:rPr>
                <w:rFonts w:ascii="Times New Roman" w:hAnsi="Times New Roman"/>
                <w:sz w:val="20"/>
                <w:szCs w:val="20"/>
              </w:rPr>
              <w:t>Disability</w:t>
            </w:r>
          </w:p>
        </w:tc>
        <w:tc>
          <w:tcPr>
            <w:tcW w:w="2610" w:type="dxa"/>
            <w:tcBorders>
              <w:top w:val="single" w:sz="4" w:space="0" w:color="000000"/>
              <w:left w:val="single" w:sz="4" w:space="0" w:color="000000"/>
              <w:bottom w:val="single" w:sz="4" w:space="0" w:color="000000"/>
              <w:right w:val="single" w:sz="4" w:space="0" w:color="000000"/>
            </w:tcBorders>
          </w:tcPr>
          <w:p w14:paraId="7315B1A8" w14:textId="77777777" w:rsidR="00C07134" w:rsidRPr="00C07134" w:rsidRDefault="00C07134" w:rsidP="00C07134">
            <w:pPr>
              <w:kinsoku w:val="0"/>
              <w:overflowPunct w:val="0"/>
              <w:autoSpaceDE w:val="0"/>
              <w:autoSpaceDN w:val="0"/>
              <w:adjustRightInd w:val="0"/>
              <w:spacing w:after="0" w:line="240" w:lineRule="auto"/>
              <w:ind w:left="100"/>
              <w:rPr>
                <w:rFonts w:ascii="Times New Roman" w:hAnsi="Times New Roman"/>
                <w:sz w:val="24"/>
                <w:szCs w:val="24"/>
              </w:rPr>
            </w:pPr>
            <w:r w:rsidRPr="00C07134">
              <w:rPr>
                <w:rFonts w:ascii="Times New Roman" w:hAnsi="Times New Roman"/>
                <w:sz w:val="20"/>
                <w:szCs w:val="20"/>
              </w:rPr>
              <w:t>Male: +8, Female:</w:t>
            </w:r>
            <w:r w:rsidRPr="00C07134">
              <w:rPr>
                <w:rFonts w:ascii="Times New Roman" w:hAnsi="Times New Roman"/>
                <w:spacing w:val="-17"/>
                <w:sz w:val="20"/>
                <w:szCs w:val="20"/>
              </w:rPr>
              <w:t xml:space="preserve"> </w:t>
            </w:r>
            <w:r w:rsidRPr="00C07134">
              <w:rPr>
                <w:rFonts w:ascii="Times New Roman" w:hAnsi="Times New Roman"/>
                <w:sz w:val="20"/>
                <w:szCs w:val="20"/>
              </w:rPr>
              <w:t>+3</w:t>
            </w:r>
          </w:p>
        </w:tc>
        <w:tc>
          <w:tcPr>
            <w:tcW w:w="2719" w:type="dxa"/>
            <w:tcBorders>
              <w:top w:val="single" w:sz="4" w:space="0" w:color="000000"/>
              <w:left w:val="single" w:sz="4" w:space="0" w:color="000000"/>
              <w:bottom w:val="single" w:sz="4" w:space="0" w:color="000000"/>
              <w:right w:val="single" w:sz="4" w:space="0" w:color="000000"/>
            </w:tcBorders>
          </w:tcPr>
          <w:p w14:paraId="224D604F" w14:textId="77777777" w:rsidR="00C07134" w:rsidRPr="00C07134" w:rsidRDefault="00C07134" w:rsidP="00C07134">
            <w:pPr>
              <w:kinsoku w:val="0"/>
              <w:overflowPunct w:val="0"/>
              <w:autoSpaceDE w:val="0"/>
              <w:autoSpaceDN w:val="0"/>
              <w:adjustRightInd w:val="0"/>
              <w:spacing w:after="0" w:line="240" w:lineRule="auto"/>
              <w:ind w:left="103"/>
              <w:rPr>
                <w:rFonts w:ascii="Times New Roman" w:hAnsi="Times New Roman"/>
                <w:sz w:val="24"/>
                <w:szCs w:val="24"/>
              </w:rPr>
            </w:pPr>
            <w:r w:rsidRPr="00C07134">
              <w:rPr>
                <w:rFonts w:ascii="Times New Roman" w:hAnsi="Times New Roman"/>
                <w:sz w:val="20"/>
                <w:szCs w:val="20"/>
              </w:rPr>
              <w:t>None</w:t>
            </w:r>
          </w:p>
        </w:tc>
      </w:tr>
    </w:tbl>
    <w:p w14:paraId="0752E80F" w14:textId="77777777" w:rsidR="005414E6" w:rsidRPr="0055419F" w:rsidRDefault="005414E6" w:rsidP="00664870">
      <w:pPr>
        <w:pStyle w:val="Default"/>
        <w:jc w:val="both"/>
        <w:rPr>
          <w:sz w:val="20"/>
          <w:szCs w:val="20"/>
        </w:rPr>
      </w:pP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2EA0880A" w:rsidR="00954E0C" w:rsidRDefault="00954E0C" w:rsidP="00664870">
      <w:pPr>
        <w:autoSpaceDE w:val="0"/>
        <w:autoSpaceDN w:val="0"/>
        <w:adjustRightInd w:val="0"/>
        <w:spacing w:after="0" w:line="240" w:lineRule="auto"/>
        <w:jc w:val="both"/>
        <w:rPr>
          <w:rFonts w:ascii="Times New Roman" w:hAnsi="Times New Roman"/>
          <w:sz w:val="20"/>
          <w:szCs w:val="20"/>
        </w:rPr>
      </w:pPr>
      <w:bookmarkStart w:id="5" w:name="Pg236"/>
      <w:bookmarkEnd w:id="5"/>
    </w:p>
    <w:p w14:paraId="4908781D" w14:textId="77777777" w:rsidR="00C07134" w:rsidRPr="00C07134" w:rsidRDefault="00C07134" w:rsidP="00C07134">
      <w:pPr>
        <w:kinsoku w:val="0"/>
        <w:overflowPunct w:val="0"/>
        <w:autoSpaceDE w:val="0"/>
        <w:autoSpaceDN w:val="0"/>
        <w:adjustRightInd w:val="0"/>
        <w:spacing w:before="7" w:after="0" w:line="240" w:lineRule="auto"/>
        <w:rPr>
          <w:rFonts w:ascii="Times New Roman" w:hAnsi="Times New Roman"/>
          <w:sz w:val="2"/>
          <w:szCs w:val="2"/>
        </w:rPr>
      </w:pPr>
    </w:p>
    <w:tbl>
      <w:tblPr>
        <w:tblW w:w="0" w:type="auto"/>
        <w:tblInd w:w="86" w:type="dxa"/>
        <w:tblLayout w:type="fixed"/>
        <w:tblCellMar>
          <w:left w:w="0" w:type="dxa"/>
          <w:right w:w="0" w:type="dxa"/>
        </w:tblCellMar>
        <w:tblLook w:val="0000" w:firstRow="0" w:lastRow="0" w:firstColumn="0" w:lastColumn="0" w:noHBand="0" w:noVBand="0"/>
      </w:tblPr>
      <w:tblGrid>
        <w:gridCol w:w="3334"/>
        <w:gridCol w:w="2385"/>
        <w:gridCol w:w="3559"/>
      </w:tblGrid>
      <w:tr w:rsidR="00C07134" w:rsidRPr="00C07134" w14:paraId="7492B118" w14:textId="77777777">
        <w:trPr>
          <w:trHeight w:hRule="exact" w:val="476"/>
        </w:trPr>
        <w:tc>
          <w:tcPr>
            <w:tcW w:w="3334" w:type="dxa"/>
            <w:tcBorders>
              <w:top w:val="single" w:sz="11" w:space="0" w:color="000000"/>
              <w:left w:val="single" w:sz="11" w:space="0" w:color="000000"/>
              <w:bottom w:val="nil"/>
              <w:right w:val="nil"/>
            </w:tcBorders>
            <w:shd w:val="clear" w:color="auto" w:fill="000099"/>
          </w:tcPr>
          <w:p w14:paraId="64F4CAF9" w14:textId="77777777" w:rsidR="00C07134" w:rsidRPr="00C07134" w:rsidRDefault="00C07134" w:rsidP="00C07134">
            <w:pPr>
              <w:kinsoku w:val="0"/>
              <w:overflowPunct w:val="0"/>
              <w:autoSpaceDE w:val="0"/>
              <w:autoSpaceDN w:val="0"/>
              <w:adjustRightInd w:val="0"/>
              <w:spacing w:before="116" w:after="0" w:line="240" w:lineRule="auto"/>
              <w:ind w:left="1358"/>
              <w:rPr>
                <w:rFonts w:ascii="Times New Roman" w:hAnsi="Times New Roman"/>
                <w:sz w:val="24"/>
                <w:szCs w:val="24"/>
              </w:rPr>
            </w:pPr>
            <w:r w:rsidRPr="00C07134">
              <w:rPr>
                <w:rFonts w:ascii="Times New Roman" w:hAnsi="Times New Roman"/>
                <w:b/>
                <w:bCs/>
                <w:color w:val="FFFFFF"/>
                <w:sz w:val="20"/>
                <w:szCs w:val="20"/>
              </w:rPr>
              <w:t>Asset Class</w:t>
            </w:r>
          </w:p>
        </w:tc>
        <w:tc>
          <w:tcPr>
            <w:tcW w:w="2385" w:type="dxa"/>
            <w:tcBorders>
              <w:top w:val="single" w:sz="11" w:space="0" w:color="000000"/>
              <w:left w:val="nil"/>
              <w:bottom w:val="nil"/>
              <w:right w:val="nil"/>
            </w:tcBorders>
            <w:shd w:val="clear" w:color="auto" w:fill="000099"/>
          </w:tcPr>
          <w:p w14:paraId="1E1B9584" w14:textId="77777777" w:rsidR="00C07134" w:rsidRPr="00C07134" w:rsidRDefault="00C07134" w:rsidP="00C07134">
            <w:pPr>
              <w:kinsoku w:val="0"/>
              <w:overflowPunct w:val="0"/>
              <w:autoSpaceDE w:val="0"/>
              <w:autoSpaceDN w:val="0"/>
              <w:adjustRightInd w:val="0"/>
              <w:spacing w:before="1" w:after="0" w:line="240" w:lineRule="auto"/>
              <w:ind w:left="790" w:right="714" w:firstLine="148"/>
              <w:rPr>
                <w:rFonts w:ascii="Times New Roman" w:hAnsi="Times New Roman"/>
                <w:sz w:val="24"/>
                <w:szCs w:val="24"/>
              </w:rPr>
            </w:pPr>
            <w:r w:rsidRPr="00C07134">
              <w:rPr>
                <w:rFonts w:ascii="Times New Roman" w:hAnsi="Times New Roman"/>
                <w:b/>
                <w:bCs/>
                <w:color w:val="FFFFFF"/>
                <w:sz w:val="20"/>
                <w:szCs w:val="20"/>
              </w:rPr>
              <w:t>Target</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Allocation</w:t>
            </w:r>
          </w:p>
        </w:tc>
        <w:tc>
          <w:tcPr>
            <w:tcW w:w="3559" w:type="dxa"/>
            <w:tcBorders>
              <w:top w:val="single" w:sz="11" w:space="0" w:color="000000"/>
              <w:left w:val="nil"/>
              <w:bottom w:val="nil"/>
              <w:right w:val="single" w:sz="11" w:space="0" w:color="000000"/>
            </w:tcBorders>
            <w:shd w:val="clear" w:color="auto" w:fill="000099"/>
          </w:tcPr>
          <w:p w14:paraId="2343A160" w14:textId="77777777" w:rsidR="00C07134" w:rsidRPr="00C07134" w:rsidRDefault="00C07134" w:rsidP="00C07134">
            <w:pPr>
              <w:kinsoku w:val="0"/>
              <w:overflowPunct w:val="0"/>
              <w:autoSpaceDE w:val="0"/>
              <w:autoSpaceDN w:val="0"/>
              <w:adjustRightInd w:val="0"/>
              <w:spacing w:before="1" w:after="0" w:line="240" w:lineRule="auto"/>
              <w:ind w:left="942" w:right="1000" w:hanging="226"/>
              <w:rPr>
                <w:rFonts w:ascii="Times New Roman" w:hAnsi="Times New Roman"/>
                <w:sz w:val="24"/>
                <w:szCs w:val="24"/>
              </w:rPr>
            </w:pPr>
            <w:r w:rsidRPr="00C07134">
              <w:rPr>
                <w:rFonts w:ascii="Times New Roman" w:hAnsi="Times New Roman"/>
                <w:b/>
                <w:bCs/>
                <w:color w:val="FFFFFF"/>
                <w:sz w:val="20"/>
                <w:szCs w:val="20"/>
              </w:rPr>
              <w:t>Long-Term</w:t>
            </w:r>
            <w:r w:rsidRPr="00C07134">
              <w:rPr>
                <w:rFonts w:ascii="Times New Roman" w:hAnsi="Times New Roman"/>
                <w:b/>
                <w:bCs/>
                <w:color w:val="FFFFFF"/>
                <w:spacing w:val="-4"/>
                <w:sz w:val="20"/>
                <w:szCs w:val="20"/>
              </w:rPr>
              <w:t xml:space="preserve"> </w:t>
            </w:r>
            <w:r w:rsidRPr="00C07134">
              <w:rPr>
                <w:rFonts w:ascii="Times New Roman" w:hAnsi="Times New Roman"/>
                <w:b/>
                <w:bCs/>
                <w:color w:val="FFFFFF"/>
                <w:sz w:val="20"/>
                <w:szCs w:val="20"/>
              </w:rPr>
              <w:t>Expected</w:t>
            </w:r>
            <w:r w:rsidRPr="00C07134">
              <w:rPr>
                <w:rFonts w:ascii="Times New Roman" w:hAnsi="Times New Roman"/>
                <w:b/>
                <w:bCs/>
                <w:color w:val="FFFFFF"/>
                <w:w w:val="99"/>
                <w:sz w:val="20"/>
                <w:szCs w:val="20"/>
              </w:rPr>
              <w:t xml:space="preserve"> </w:t>
            </w:r>
            <w:r w:rsidRPr="00C07134">
              <w:rPr>
                <w:rFonts w:ascii="Times New Roman" w:hAnsi="Times New Roman"/>
                <w:b/>
                <w:bCs/>
                <w:color w:val="FFFFFF"/>
                <w:sz w:val="20"/>
                <w:szCs w:val="20"/>
              </w:rPr>
              <w:t>Rate of</w:t>
            </w:r>
            <w:r w:rsidRPr="00C07134">
              <w:rPr>
                <w:rFonts w:ascii="Times New Roman" w:hAnsi="Times New Roman"/>
                <w:b/>
                <w:bCs/>
                <w:color w:val="FFFFFF"/>
                <w:spacing w:val="-1"/>
                <w:sz w:val="20"/>
                <w:szCs w:val="20"/>
              </w:rPr>
              <w:t xml:space="preserve"> </w:t>
            </w:r>
            <w:r w:rsidRPr="00C07134">
              <w:rPr>
                <w:rFonts w:ascii="Times New Roman" w:hAnsi="Times New Roman"/>
                <w:b/>
                <w:bCs/>
                <w:color w:val="FFFFFF"/>
                <w:sz w:val="20"/>
                <w:szCs w:val="20"/>
              </w:rPr>
              <w:t>Return*</w:t>
            </w:r>
          </w:p>
        </w:tc>
      </w:tr>
      <w:tr w:rsidR="00C07134" w:rsidRPr="00C07134" w14:paraId="033C388F" w14:textId="77777777">
        <w:trPr>
          <w:trHeight w:hRule="exact" w:val="239"/>
        </w:trPr>
        <w:tc>
          <w:tcPr>
            <w:tcW w:w="3334" w:type="dxa"/>
            <w:tcBorders>
              <w:top w:val="nil"/>
              <w:left w:val="single" w:sz="11" w:space="0" w:color="000000"/>
              <w:bottom w:val="nil"/>
              <w:right w:val="nil"/>
            </w:tcBorders>
          </w:tcPr>
          <w:p w14:paraId="3AA0E207" w14:textId="77777777" w:rsidR="00C07134" w:rsidRPr="00C07134" w:rsidRDefault="00C07134" w:rsidP="00C07134">
            <w:pPr>
              <w:kinsoku w:val="0"/>
              <w:overflowPunct w:val="0"/>
              <w:autoSpaceDE w:val="0"/>
              <w:autoSpaceDN w:val="0"/>
              <w:adjustRightInd w:val="0"/>
              <w:spacing w:after="0" w:line="228" w:lineRule="exact"/>
              <w:ind w:left="331"/>
              <w:rPr>
                <w:rFonts w:ascii="Times New Roman" w:hAnsi="Times New Roman"/>
                <w:sz w:val="24"/>
                <w:szCs w:val="24"/>
              </w:rPr>
            </w:pPr>
            <w:r w:rsidRPr="00C07134">
              <w:rPr>
                <w:rFonts w:ascii="Times New Roman" w:hAnsi="Times New Roman"/>
                <w:sz w:val="20"/>
                <w:szCs w:val="20"/>
              </w:rPr>
              <w:t>Fixed Income</w:t>
            </w:r>
          </w:p>
        </w:tc>
        <w:tc>
          <w:tcPr>
            <w:tcW w:w="2385" w:type="dxa"/>
            <w:tcBorders>
              <w:top w:val="nil"/>
              <w:left w:val="nil"/>
              <w:bottom w:val="nil"/>
              <w:right w:val="nil"/>
            </w:tcBorders>
          </w:tcPr>
          <w:p w14:paraId="490BE735" w14:textId="77777777" w:rsidR="00C07134" w:rsidRPr="00C07134" w:rsidRDefault="00C07134" w:rsidP="00C07134">
            <w:pPr>
              <w:kinsoku w:val="0"/>
              <w:overflowPunct w:val="0"/>
              <w:autoSpaceDE w:val="0"/>
              <w:autoSpaceDN w:val="0"/>
              <w:adjustRightInd w:val="0"/>
              <w:spacing w:after="0" w:line="228" w:lineRule="exact"/>
              <w:ind w:right="49"/>
              <w:jc w:val="center"/>
              <w:rPr>
                <w:rFonts w:ascii="Times New Roman" w:hAnsi="Times New Roman"/>
                <w:sz w:val="24"/>
                <w:szCs w:val="24"/>
              </w:rPr>
            </w:pPr>
            <w:r w:rsidRPr="00C07134">
              <w:rPr>
                <w:rFonts w:ascii="Times New Roman" w:hAnsi="Times New Roman"/>
                <w:sz w:val="20"/>
                <w:szCs w:val="20"/>
              </w:rPr>
              <w:t>22.0%</w:t>
            </w:r>
          </w:p>
        </w:tc>
        <w:tc>
          <w:tcPr>
            <w:tcW w:w="3559" w:type="dxa"/>
            <w:tcBorders>
              <w:top w:val="nil"/>
              <w:left w:val="nil"/>
              <w:bottom w:val="nil"/>
              <w:right w:val="single" w:sz="11" w:space="0" w:color="000000"/>
            </w:tcBorders>
          </w:tcPr>
          <w:p w14:paraId="68B1ACBA" w14:textId="77777777" w:rsidR="00C07134" w:rsidRPr="00C07134" w:rsidRDefault="00C07134" w:rsidP="00C07134">
            <w:pPr>
              <w:kinsoku w:val="0"/>
              <w:overflowPunct w:val="0"/>
              <w:autoSpaceDE w:val="0"/>
              <w:autoSpaceDN w:val="0"/>
              <w:adjustRightInd w:val="0"/>
              <w:spacing w:after="0" w:line="228" w:lineRule="exact"/>
              <w:ind w:right="323"/>
              <w:jc w:val="center"/>
              <w:rPr>
                <w:rFonts w:ascii="Times New Roman" w:hAnsi="Times New Roman"/>
                <w:sz w:val="24"/>
                <w:szCs w:val="24"/>
              </w:rPr>
            </w:pPr>
            <w:r w:rsidRPr="00C07134">
              <w:rPr>
                <w:rFonts w:ascii="Times New Roman" w:hAnsi="Times New Roman"/>
                <w:sz w:val="20"/>
                <w:szCs w:val="20"/>
              </w:rPr>
              <w:t>2.8%</w:t>
            </w:r>
          </w:p>
        </w:tc>
      </w:tr>
      <w:tr w:rsidR="00C07134" w:rsidRPr="00C07134" w14:paraId="516EF637" w14:textId="77777777">
        <w:trPr>
          <w:trHeight w:hRule="exact" w:val="230"/>
        </w:trPr>
        <w:tc>
          <w:tcPr>
            <w:tcW w:w="3334" w:type="dxa"/>
            <w:tcBorders>
              <w:top w:val="nil"/>
              <w:left w:val="single" w:sz="11" w:space="0" w:color="000000"/>
              <w:bottom w:val="nil"/>
              <w:right w:val="nil"/>
            </w:tcBorders>
          </w:tcPr>
          <w:p w14:paraId="3852896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Large</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16D60BA"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39.0%</w:t>
            </w:r>
          </w:p>
        </w:tc>
        <w:tc>
          <w:tcPr>
            <w:tcW w:w="3559" w:type="dxa"/>
            <w:tcBorders>
              <w:top w:val="nil"/>
              <w:left w:val="nil"/>
              <w:bottom w:val="nil"/>
              <w:right w:val="single" w:sz="11" w:space="0" w:color="000000"/>
            </w:tcBorders>
          </w:tcPr>
          <w:p w14:paraId="6C248E2B"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8.0%</w:t>
            </w:r>
          </w:p>
        </w:tc>
      </w:tr>
      <w:tr w:rsidR="00C07134" w:rsidRPr="00C07134" w14:paraId="5E59E352" w14:textId="77777777">
        <w:trPr>
          <w:trHeight w:hRule="exact" w:val="230"/>
        </w:trPr>
        <w:tc>
          <w:tcPr>
            <w:tcW w:w="3334" w:type="dxa"/>
            <w:tcBorders>
              <w:top w:val="nil"/>
              <w:left w:val="single" w:sz="11" w:space="0" w:color="000000"/>
              <w:bottom w:val="nil"/>
              <w:right w:val="nil"/>
            </w:tcBorders>
          </w:tcPr>
          <w:p w14:paraId="28E879B8"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Mid</w:t>
            </w:r>
            <w:r w:rsidRPr="00C07134">
              <w:rPr>
                <w:rFonts w:ascii="Times New Roman" w:hAnsi="Times New Roman"/>
                <w:spacing w:val="-1"/>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992443C"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11.0%</w:t>
            </w:r>
          </w:p>
        </w:tc>
        <w:tc>
          <w:tcPr>
            <w:tcW w:w="3559" w:type="dxa"/>
            <w:tcBorders>
              <w:top w:val="nil"/>
              <w:left w:val="nil"/>
              <w:bottom w:val="nil"/>
              <w:right w:val="single" w:sz="11" w:space="0" w:color="000000"/>
            </w:tcBorders>
          </w:tcPr>
          <w:p w14:paraId="7B509B11"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10.0%</w:t>
            </w:r>
          </w:p>
        </w:tc>
      </w:tr>
      <w:tr w:rsidR="00C07134" w:rsidRPr="00C07134" w14:paraId="4579ED48" w14:textId="77777777">
        <w:trPr>
          <w:trHeight w:hRule="exact" w:val="230"/>
        </w:trPr>
        <w:tc>
          <w:tcPr>
            <w:tcW w:w="3334" w:type="dxa"/>
            <w:tcBorders>
              <w:top w:val="nil"/>
              <w:left w:val="single" w:sz="11" w:space="0" w:color="000000"/>
              <w:bottom w:val="nil"/>
              <w:right w:val="nil"/>
            </w:tcBorders>
          </w:tcPr>
          <w:p w14:paraId="39729C4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US Small</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7CE22150"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5.0%</w:t>
            </w:r>
          </w:p>
        </w:tc>
        <w:tc>
          <w:tcPr>
            <w:tcW w:w="3559" w:type="dxa"/>
            <w:tcBorders>
              <w:top w:val="nil"/>
              <w:left w:val="nil"/>
              <w:bottom w:val="nil"/>
              <w:right w:val="single" w:sz="11" w:space="0" w:color="000000"/>
            </w:tcBorders>
          </w:tcPr>
          <w:p w14:paraId="0A24EBE2"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018B1F2A" w14:textId="77777777">
        <w:trPr>
          <w:trHeight w:hRule="exact" w:val="230"/>
        </w:trPr>
        <w:tc>
          <w:tcPr>
            <w:tcW w:w="3334" w:type="dxa"/>
            <w:tcBorders>
              <w:top w:val="nil"/>
              <w:left w:val="single" w:sz="11" w:space="0" w:color="000000"/>
              <w:bottom w:val="nil"/>
              <w:right w:val="nil"/>
            </w:tcBorders>
          </w:tcPr>
          <w:p w14:paraId="7190B520"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Developed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78181E3" w14:textId="77777777" w:rsidR="00C07134" w:rsidRPr="00C07134" w:rsidRDefault="00C07134" w:rsidP="00C07134">
            <w:pPr>
              <w:kinsoku w:val="0"/>
              <w:overflowPunct w:val="0"/>
              <w:autoSpaceDE w:val="0"/>
              <w:autoSpaceDN w:val="0"/>
              <w:adjustRightInd w:val="0"/>
              <w:spacing w:after="0" w:line="219" w:lineRule="exact"/>
              <w:ind w:right="49"/>
              <w:jc w:val="center"/>
              <w:rPr>
                <w:rFonts w:ascii="Times New Roman" w:hAnsi="Times New Roman"/>
                <w:sz w:val="24"/>
                <w:szCs w:val="24"/>
              </w:rPr>
            </w:pPr>
            <w:r w:rsidRPr="00C07134">
              <w:rPr>
                <w:rFonts w:ascii="Times New Roman" w:hAnsi="Times New Roman"/>
                <w:sz w:val="20"/>
                <w:szCs w:val="20"/>
              </w:rPr>
              <w:t>12.0%</w:t>
            </w:r>
          </w:p>
        </w:tc>
        <w:tc>
          <w:tcPr>
            <w:tcW w:w="3559" w:type="dxa"/>
            <w:tcBorders>
              <w:top w:val="nil"/>
              <w:left w:val="nil"/>
              <w:bottom w:val="nil"/>
              <w:right w:val="single" w:sz="11" w:space="0" w:color="000000"/>
            </w:tcBorders>
          </w:tcPr>
          <w:p w14:paraId="1E60C5A5"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9.5%</w:t>
            </w:r>
          </w:p>
        </w:tc>
      </w:tr>
      <w:tr w:rsidR="00C07134" w:rsidRPr="00C07134" w14:paraId="2C528185" w14:textId="77777777">
        <w:trPr>
          <w:trHeight w:hRule="exact" w:val="229"/>
        </w:trPr>
        <w:tc>
          <w:tcPr>
            <w:tcW w:w="3334" w:type="dxa"/>
            <w:tcBorders>
              <w:top w:val="nil"/>
              <w:left w:val="single" w:sz="11" w:space="0" w:color="000000"/>
              <w:bottom w:val="nil"/>
              <w:right w:val="nil"/>
            </w:tcBorders>
          </w:tcPr>
          <w:p w14:paraId="51374807"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Int'l Emerging Mkt</w:t>
            </w:r>
            <w:r w:rsidRPr="00C07134">
              <w:rPr>
                <w:rFonts w:ascii="Times New Roman" w:hAnsi="Times New Roman"/>
                <w:spacing w:val="-2"/>
                <w:sz w:val="20"/>
                <w:szCs w:val="20"/>
              </w:rPr>
              <w:t xml:space="preserve"> </w:t>
            </w:r>
            <w:r w:rsidRPr="00C07134">
              <w:rPr>
                <w:rFonts w:ascii="Times New Roman" w:hAnsi="Times New Roman"/>
                <w:sz w:val="20"/>
                <w:szCs w:val="20"/>
              </w:rPr>
              <w:t>Stocks</w:t>
            </w:r>
          </w:p>
        </w:tc>
        <w:tc>
          <w:tcPr>
            <w:tcW w:w="2385" w:type="dxa"/>
            <w:tcBorders>
              <w:top w:val="nil"/>
              <w:left w:val="nil"/>
              <w:bottom w:val="nil"/>
              <w:right w:val="nil"/>
            </w:tcBorders>
          </w:tcPr>
          <w:p w14:paraId="50D3101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3.0%</w:t>
            </w:r>
          </w:p>
        </w:tc>
        <w:tc>
          <w:tcPr>
            <w:tcW w:w="3559" w:type="dxa"/>
            <w:tcBorders>
              <w:top w:val="nil"/>
              <w:left w:val="nil"/>
              <w:bottom w:val="nil"/>
              <w:right w:val="single" w:sz="11" w:space="0" w:color="000000"/>
            </w:tcBorders>
          </w:tcPr>
          <w:p w14:paraId="4C1DBFC3" w14:textId="77777777" w:rsidR="00C07134" w:rsidRPr="00C07134" w:rsidRDefault="00C07134" w:rsidP="00C07134">
            <w:pPr>
              <w:kinsoku w:val="0"/>
              <w:overflowPunct w:val="0"/>
              <w:autoSpaceDE w:val="0"/>
              <w:autoSpaceDN w:val="0"/>
              <w:adjustRightInd w:val="0"/>
              <w:spacing w:after="0" w:line="219" w:lineRule="exact"/>
              <w:ind w:right="424"/>
              <w:jc w:val="center"/>
              <w:rPr>
                <w:rFonts w:ascii="Times New Roman" w:hAnsi="Times New Roman"/>
                <w:sz w:val="24"/>
                <w:szCs w:val="24"/>
              </w:rPr>
            </w:pPr>
            <w:r w:rsidRPr="00C07134">
              <w:rPr>
                <w:rFonts w:ascii="Times New Roman" w:hAnsi="Times New Roman"/>
                <w:sz w:val="20"/>
                <w:szCs w:val="20"/>
              </w:rPr>
              <w:t>11.0%</w:t>
            </w:r>
          </w:p>
        </w:tc>
      </w:tr>
      <w:tr w:rsidR="00C07134" w:rsidRPr="00C07134" w14:paraId="71072FEC" w14:textId="77777777">
        <w:trPr>
          <w:trHeight w:hRule="exact" w:val="229"/>
        </w:trPr>
        <w:tc>
          <w:tcPr>
            <w:tcW w:w="3334" w:type="dxa"/>
            <w:tcBorders>
              <w:top w:val="nil"/>
              <w:left w:val="single" w:sz="11" w:space="0" w:color="000000"/>
              <w:bottom w:val="nil"/>
              <w:right w:val="nil"/>
            </w:tcBorders>
          </w:tcPr>
          <w:p w14:paraId="743F9172" w14:textId="77777777" w:rsidR="00C07134" w:rsidRPr="00C07134" w:rsidRDefault="00C07134" w:rsidP="00C07134">
            <w:pPr>
              <w:kinsoku w:val="0"/>
              <w:overflowPunct w:val="0"/>
              <w:autoSpaceDE w:val="0"/>
              <w:autoSpaceDN w:val="0"/>
              <w:adjustRightInd w:val="0"/>
              <w:spacing w:after="0" w:line="218" w:lineRule="exact"/>
              <w:ind w:left="331"/>
              <w:rPr>
                <w:rFonts w:ascii="Times New Roman" w:hAnsi="Times New Roman"/>
                <w:sz w:val="24"/>
                <w:szCs w:val="24"/>
              </w:rPr>
            </w:pPr>
            <w:r w:rsidRPr="00C07134">
              <w:rPr>
                <w:rFonts w:ascii="Times New Roman" w:hAnsi="Times New Roman"/>
                <w:sz w:val="20"/>
                <w:szCs w:val="20"/>
              </w:rPr>
              <w:t>Alternatives</w:t>
            </w:r>
          </w:p>
        </w:tc>
        <w:tc>
          <w:tcPr>
            <w:tcW w:w="2385" w:type="dxa"/>
            <w:tcBorders>
              <w:top w:val="nil"/>
              <w:left w:val="nil"/>
              <w:bottom w:val="nil"/>
              <w:right w:val="nil"/>
            </w:tcBorders>
          </w:tcPr>
          <w:p w14:paraId="45BBC337" w14:textId="77777777" w:rsidR="00C07134" w:rsidRPr="00C07134" w:rsidRDefault="00C07134" w:rsidP="00C07134">
            <w:pPr>
              <w:kinsoku w:val="0"/>
              <w:overflowPunct w:val="0"/>
              <w:autoSpaceDE w:val="0"/>
              <w:autoSpaceDN w:val="0"/>
              <w:adjustRightInd w:val="0"/>
              <w:spacing w:after="0" w:line="218" w:lineRule="exact"/>
              <w:ind w:left="49"/>
              <w:jc w:val="center"/>
              <w:rPr>
                <w:rFonts w:ascii="Times New Roman" w:hAnsi="Times New Roman"/>
                <w:sz w:val="24"/>
                <w:szCs w:val="24"/>
              </w:rPr>
            </w:pPr>
            <w:r w:rsidRPr="00C07134">
              <w:rPr>
                <w:rFonts w:ascii="Times New Roman" w:hAnsi="Times New Roman"/>
                <w:sz w:val="20"/>
                <w:szCs w:val="20"/>
              </w:rPr>
              <w:t>1.0%</w:t>
            </w:r>
          </w:p>
        </w:tc>
        <w:tc>
          <w:tcPr>
            <w:tcW w:w="3559" w:type="dxa"/>
            <w:tcBorders>
              <w:top w:val="nil"/>
              <w:left w:val="nil"/>
              <w:bottom w:val="nil"/>
              <w:right w:val="single" w:sz="11" w:space="0" w:color="000000"/>
            </w:tcBorders>
          </w:tcPr>
          <w:p w14:paraId="4F3CF81C" w14:textId="77777777" w:rsidR="00C07134" w:rsidRPr="00C07134" w:rsidRDefault="00C07134" w:rsidP="00C07134">
            <w:pPr>
              <w:kinsoku w:val="0"/>
              <w:overflowPunct w:val="0"/>
              <w:autoSpaceDE w:val="0"/>
              <w:autoSpaceDN w:val="0"/>
              <w:adjustRightInd w:val="0"/>
              <w:spacing w:after="0" w:line="218" w:lineRule="exact"/>
              <w:ind w:right="323"/>
              <w:jc w:val="center"/>
              <w:rPr>
                <w:rFonts w:ascii="Times New Roman" w:hAnsi="Times New Roman"/>
                <w:sz w:val="24"/>
                <w:szCs w:val="24"/>
              </w:rPr>
            </w:pPr>
            <w:r w:rsidRPr="00C07134">
              <w:rPr>
                <w:rFonts w:ascii="Times New Roman" w:hAnsi="Times New Roman"/>
                <w:sz w:val="20"/>
                <w:szCs w:val="20"/>
              </w:rPr>
              <w:t>9.0%</w:t>
            </w:r>
          </w:p>
        </w:tc>
      </w:tr>
      <w:tr w:rsidR="00C07134" w:rsidRPr="00C07134" w14:paraId="1CB217B6" w14:textId="77777777">
        <w:trPr>
          <w:trHeight w:hRule="exact" w:val="230"/>
        </w:trPr>
        <w:tc>
          <w:tcPr>
            <w:tcW w:w="3334" w:type="dxa"/>
            <w:tcBorders>
              <w:top w:val="nil"/>
              <w:left w:val="single" w:sz="11" w:space="0" w:color="000000"/>
              <w:bottom w:val="nil"/>
              <w:right w:val="nil"/>
            </w:tcBorders>
          </w:tcPr>
          <w:p w14:paraId="3BC66433"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Real</w:t>
            </w:r>
            <w:r w:rsidRPr="00C07134">
              <w:rPr>
                <w:rFonts w:ascii="Times New Roman" w:hAnsi="Times New Roman"/>
                <w:spacing w:val="-2"/>
                <w:sz w:val="20"/>
                <w:szCs w:val="20"/>
              </w:rPr>
              <w:t xml:space="preserve"> </w:t>
            </w:r>
            <w:r w:rsidRPr="00C07134">
              <w:rPr>
                <w:rFonts w:ascii="Times New Roman" w:hAnsi="Times New Roman"/>
                <w:sz w:val="20"/>
                <w:szCs w:val="20"/>
              </w:rPr>
              <w:t>Estate</w:t>
            </w:r>
          </w:p>
        </w:tc>
        <w:tc>
          <w:tcPr>
            <w:tcW w:w="2385" w:type="dxa"/>
            <w:tcBorders>
              <w:top w:val="nil"/>
              <w:left w:val="nil"/>
              <w:bottom w:val="nil"/>
              <w:right w:val="nil"/>
            </w:tcBorders>
          </w:tcPr>
          <w:p w14:paraId="44FECEEB" w14:textId="77777777" w:rsidR="00C07134" w:rsidRPr="00C07134" w:rsidRDefault="00C07134" w:rsidP="00C07134">
            <w:pPr>
              <w:kinsoku w:val="0"/>
              <w:overflowPunct w:val="0"/>
              <w:autoSpaceDE w:val="0"/>
              <w:autoSpaceDN w:val="0"/>
              <w:adjustRightInd w:val="0"/>
              <w:spacing w:after="0" w:line="219" w:lineRule="exact"/>
              <w:ind w:left="49"/>
              <w:jc w:val="center"/>
              <w:rPr>
                <w:rFonts w:ascii="Times New Roman" w:hAnsi="Times New Roman"/>
                <w:sz w:val="24"/>
                <w:szCs w:val="24"/>
              </w:rPr>
            </w:pPr>
            <w:r w:rsidRPr="00C07134">
              <w:rPr>
                <w:rFonts w:ascii="Times New Roman" w:hAnsi="Times New Roman"/>
                <w:sz w:val="20"/>
                <w:szCs w:val="20"/>
              </w:rPr>
              <w:t>2.0%</w:t>
            </w:r>
          </w:p>
        </w:tc>
        <w:tc>
          <w:tcPr>
            <w:tcW w:w="3559" w:type="dxa"/>
            <w:tcBorders>
              <w:top w:val="nil"/>
              <w:left w:val="nil"/>
              <w:bottom w:val="nil"/>
              <w:right w:val="single" w:sz="11" w:space="0" w:color="000000"/>
            </w:tcBorders>
          </w:tcPr>
          <w:p w14:paraId="7E54F7C4"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6.5%</w:t>
            </w:r>
          </w:p>
        </w:tc>
      </w:tr>
      <w:tr w:rsidR="00C07134" w:rsidRPr="00C07134" w14:paraId="0C0F7C45" w14:textId="77777777">
        <w:trPr>
          <w:trHeight w:hRule="exact" w:val="230"/>
        </w:trPr>
        <w:tc>
          <w:tcPr>
            <w:tcW w:w="3334" w:type="dxa"/>
            <w:tcBorders>
              <w:top w:val="nil"/>
              <w:left w:val="single" w:sz="11" w:space="0" w:color="000000"/>
              <w:bottom w:val="nil"/>
              <w:right w:val="nil"/>
            </w:tcBorders>
          </w:tcPr>
          <w:p w14:paraId="77445E2E" w14:textId="77777777" w:rsidR="00C07134" w:rsidRPr="00C07134" w:rsidRDefault="00C07134" w:rsidP="00C07134">
            <w:pPr>
              <w:kinsoku w:val="0"/>
              <w:overflowPunct w:val="0"/>
              <w:autoSpaceDE w:val="0"/>
              <w:autoSpaceDN w:val="0"/>
              <w:adjustRightInd w:val="0"/>
              <w:spacing w:after="0" w:line="219" w:lineRule="exact"/>
              <w:ind w:left="331"/>
              <w:rPr>
                <w:rFonts w:ascii="Times New Roman" w:hAnsi="Times New Roman"/>
                <w:sz w:val="24"/>
                <w:szCs w:val="24"/>
              </w:rPr>
            </w:pPr>
            <w:r w:rsidRPr="00C07134">
              <w:rPr>
                <w:rFonts w:ascii="Times New Roman" w:hAnsi="Times New Roman"/>
                <w:sz w:val="20"/>
                <w:szCs w:val="20"/>
              </w:rPr>
              <w:t>Cash</w:t>
            </w:r>
          </w:p>
        </w:tc>
        <w:tc>
          <w:tcPr>
            <w:tcW w:w="2385" w:type="dxa"/>
            <w:tcBorders>
              <w:top w:val="nil"/>
              <w:left w:val="nil"/>
              <w:bottom w:val="nil"/>
              <w:right w:val="nil"/>
            </w:tcBorders>
          </w:tcPr>
          <w:p w14:paraId="14DE0C57" w14:textId="77777777" w:rsidR="00C07134" w:rsidRPr="00C07134" w:rsidRDefault="00C07134" w:rsidP="00C07134">
            <w:pPr>
              <w:kinsoku w:val="0"/>
              <w:overflowPunct w:val="0"/>
              <w:autoSpaceDE w:val="0"/>
              <w:autoSpaceDN w:val="0"/>
              <w:adjustRightInd w:val="0"/>
              <w:spacing w:after="0" w:line="219" w:lineRule="exact"/>
              <w:ind w:right="99"/>
              <w:jc w:val="center"/>
              <w:rPr>
                <w:rFonts w:ascii="Times New Roman" w:hAnsi="Times New Roman"/>
                <w:sz w:val="24"/>
                <w:szCs w:val="24"/>
              </w:rPr>
            </w:pPr>
            <w:r w:rsidRPr="00C07134">
              <w:rPr>
                <w:rFonts w:ascii="Times New Roman" w:hAnsi="Times New Roman"/>
                <w:w w:val="99"/>
                <w:sz w:val="20"/>
                <w:szCs w:val="20"/>
                <w:u w:val="single"/>
              </w:rPr>
              <w:t xml:space="preserve"> </w:t>
            </w:r>
            <w:r w:rsidRPr="00C07134">
              <w:rPr>
                <w:rFonts w:ascii="Times New Roman" w:hAnsi="Times New Roman"/>
                <w:sz w:val="20"/>
                <w:szCs w:val="20"/>
                <w:u w:val="single"/>
              </w:rPr>
              <w:t xml:space="preserve"> </w:t>
            </w:r>
            <w:r w:rsidRPr="00C07134">
              <w:rPr>
                <w:rFonts w:ascii="Times New Roman" w:hAnsi="Times New Roman"/>
                <w:spacing w:val="1"/>
                <w:sz w:val="20"/>
                <w:szCs w:val="20"/>
                <w:u w:val="single"/>
              </w:rPr>
              <w:t xml:space="preserve"> </w:t>
            </w:r>
            <w:r w:rsidRPr="00C07134">
              <w:rPr>
                <w:rFonts w:ascii="Times New Roman" w:hAnsi="Times New Roman"/>
                <w:sz w:val="20"/>
                <w:szCs w:val="20"/>
                <w:u w:val="single"/>
              </w:rPr>
              <w:t>5.0%</w:t>
            </w:r>
          </w:p>
        </w:tc>
        <w:tc>
          <w:tcPr>
            <w:tcW w:w="3559" w:type="dxa"/>
            <w:tcBorders>
              <w:top w:val="nil"/>
              <w:left w:val="nil"/>
              <w:bottom w:val="nil"/>
              <w:right w:val="single" w:sz="11" w:space="0" w:color="000000"/>
            </w:tcBorders>
          </w:tcPr>
          <w:p w14:paraId="258C2260" w14:textId="77777777" w:rsidR="00C07134" w:rsidRPr="00C07134" w:rsidRDefault="00C07134" w:rsidP="00C07134">
            <w:pPr>
              <w:kinsoku w:val="0"/>
              <w:overflowPunct w:val="0"/>
              <w:autoSpaceDE w:val="0"/>
              <w:autoSpaceDN w:val="0"/>
              <w:adjustRightInd w:val="0"/>
              <w:spacing w:after="0" w:line="219" w:lineRule="exact"/>
              <w:ind w:right="323"/>
              <w:jc w:val="center"/>
              <w:rPr>
                <w:rFonts w:ascii="Times New Roman" w:hAnsi="Times New Roman"/>
                <w:sz w:val="24"/>
                <w:szCs w:val="24"/>
              </w:rPr>
            </w:pPr>
            <w:r w:rsidRPr="00C07134">
              <w:rPr>
                <w:rFonts w:ascii="Times New Roman" w:hAnsi="Times New Roman"/>
                <w:sz w:val="20"/>
                <w:szCs w:val="20"/>
              </w:rPr>
              <w:t>1.5%</w:t>
            </w:r>
          </w:p>
        </w:tc>
      </w:tr>
      <w:tr w:rsidR="00C07134" w:rsidRPr="00C07134" w14:paraId="754901D7" w14:textId="77777777">
        <w:trPr>
          <w:trHeight w:hRule="exact" w:val="327"/>
        </w:trPr>
        <w:tc>
          <w:tcPr>
            <w:tcW w:w="3334" w:type="dxa"/>
            <w:tcBorders>
              <w:top w:val="nil"/>
              <w:left w:val="single" w:sz="11" w:space="0" w:color="000000"/>
              <w:bottom w:val="single" w:sz="11" w:space="0" w:color="000000"/>
              <w:right w:val="nil"/>
            </w:tcBorders>
          </w:tcPr>
          <w:p w14:paraId="491F09CE" w14:textId="77777777" w:rsidR="00C07134" w:rsidRPr="00C07134" w:rsidRDefault="00C07134" w:rsidP="00C07134">
            <w:pPr>
              <w:kinsoku w:val="0"/>
              <w:overflowPunct w:val="0"/>
              <w:autoSpaceDE w:val="0"/>
              <w:autoSpaceDN w:val="0"/>
              <w:adjustRightInd w:val="0"/>
              <w:spacing w:after="0" w:line="219" w:lineRule="exact"/>
              <w:ind w:left="583"/>
              <w:rPr>
                <w:rFonts w:ascii="Times New Roman" w:hAnsi="Times New Roman"/>
                <w:sz w:val="24"/>
                <w:szCs w:val="24"/>
              </w:rPr>
            </w:pPr>
            <w:r w:rsidRPr="00C07134">
              <w:rPr>
                <w:rFonts w:ascii="Times New Roman" w:hAnsi="Times New Roman"/>
                <w:sz w:val="20"/>
                <w:szCs w:val="20"/>
              </w:rPr>
              <w:t>Total</w:t>
            </w:r>
          </w:p>
        </w:tc>
        <w:tc>
          <w:tcPr>
            <w:tcW w:w="2385" w:type="dxa"/>
            <w:tcBorders>
              <w:top w:val="nil"/>
              <w:left w:val="nil"/>
              <w:bottom w:val="single" w:sz="11" w:space="0" w:color="000000"/>
              <w:right w:val="nil"/>
            </w:tcBorders>
          </w:tcPr>
          <w:p w14:paraId="46C7FA27" w14:textId="77777777" w:rsidR="00C07134" w:rsidRPr="00C07134" w:rsidRDefault="00C07134" w:rsidP="00C07134">
            <w:pPr>
              <w:kinsoku w:val="0"/>
              <w:overflowPunct w:val="0"/>
              <w:autoSpaceDE w:val="0"/>
              <w:autoSpaceDN w:val="0"/>
              <w:adjustRightInd w:val="0"/>
              <w:spacing w:after="0" w:line="219" w:lineRule="exact"/>
              <w:ind w:right="150"/>
              <w:jc w:val="center"/>
              <w:rPr>
                <w:rFonts w:ascii="Times New Roman" w:hAnsi="Times New Roman"/>
                <w:sz w:val="24"/>
                <w:szCs w:val="24"/>
              </w:rPr>
            </w:pPr>
            <w:r w:rsidRPr="00C07134">
              <w:rPr>
                <w:rFonts w:ascii="Times New Roman" w:hAnsi="Times New Roman"/>
                <w:sz w:val="20"/>
                <w:szCs w:val="20"/>
              </w:rPr>
              <w:t>100.0%</w:t>
            </w:r>
          </w:p>
        </w:tc>
        <w:tc>
          <w:tcPr>
            <w:tcW w:w="3559" w:type="dxa"/>
            <w:tcBorders>
              <w:top w:val="nil"/>
              <w:left w:val="nil"/>
              <w:bottom w:val="single" w:sz="11" w:space="0" w:color="000000"/>
              <w:right w:val="single" w:sz="11" w:space="0" w:color="000000"/>
            </w:tcBorders>
          </w:tcPr>
          <w:p w14:paraId="00D48D9A" w14:textId="77777777" w:rsidR="00C07134" w:rsidRPr="00C07134" w:rsidRDefault="00C07134" w:rsidP="00C07134">
            <w:pPr>
              <w:autoSpaceDE w:val="0"/>
              <w:autoSpaceDN w:val="0"/>
              <w:adjustRightInd w:val="0"/>
              <w:spacing w:after="0" w:line="240" w:lineRule="auto"/>
              <w:rPr>
                <w:rFonts w:ascii="Times New Roman" w:hAnsi="Times New Roman"/>
                <w:sz w:val="24"/>
                <w:szCs w:val="24"/>
              </w:rPr>
            </w:pPr>
          </w:p>
        </w:tc>
      </w:tr>
    </w:tbl>
    <w:p w14:paraId="5F8FBBED" w14:textId="77777777" w:rsidR="00C07134" w:rsidRPr="0055419F" w:rsidRDefault="00C07134" w:rsidP="00664870">
      <w:pPr>
        <w:autoSpaceDE w:val="0"/>
        <w:autoSpaceDN w:val="0"/>
        <w:adjustRightInd w:val="0"/>
        <w:spacing w:after="0" w:line="240" w:lineRule="auto"/>
        <w:jc w:val="both"/>
        <w:rPr>
          <w:rFonts w:ascii="Times New Roman" w:hAnsi="Times New Roman"/>
          <w:sz w:val="20"/>
          <w:szCs w:val="20"/>
        </w:rPr>
      </w:pPr>
    </w:p>
    <w:p w14:paraId="063D7758" w14:textId="7CE61D81"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0056508D">
        <w:rPr>
          <w:rFonts w:ascii="Times New Roman" w:hAnsi="Times New Roman"/>
          <w:spacing w:val="2"/>
          <w:sz w:val="20"/>
          <w:szCs w:val="20"/>
        </w:rPr>
        <w:t>0</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2AF12569"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w:t>
      </w:r>
      <w:r w:rsidR="00C07134">
        <w:rPr>
          <w:rFonts w:ascii="Times New Roman" w:hAnsi="Times New Roman"/>
          <w:sz w:val="20"/>
          <w:szCs w:val="20"/>
        </w:rPr>
        <w:t>40</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6" w:name="Pg237"/>
      <w:bookmarkEnd w:id="6"/>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235E4DC2"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Detailed information about the pension plan’s fiduciary net position is available in the separately issued RSA </w:t>
      </w:r>
      <w:r w:rsidR="0056508D">
        <w:rPr>
          <w:rFonts w:ascii="Times New Roman" w:hAnsi="Times New Roman"/>
          <w:color w:val="2B2A29"/>
          <w:sz w:val="20"/>
          <w:szCs w:val="20"/>
        </w:rPr>
        <w:t xml:space="preserve">Annual </w:t>
      </w:r>
      <w:r w:rsidRPr="0055419F">
        <w:rPr>
          <w:rFonts w:ascii="Times New Roman" w:hAnsi="Times New Roman"/>
          <w:color w:val="2B2A29"/>
          <w:sz w:val="20"/>
          <w:szCs w:val="20"/>
        </w:rPr>
        <w:t>Comprehensive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F06DE6">
        <w:rPr>
          <w:rFonts w:ascii="Times New Roman" w:hAnsi="Times New Roman"/>
          <w:color w:val="2B2A29"/>
          <w:sz w:val="20"/>
          <w:szCs w:val="20"/>
        </w:rPr>
        <w:t>3</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w:t>
      </w:r>
      <w:r w:rsidR="00F06DE6">
        <w:rPr>
          <w:rFonts w:ascii="Times New Roman" w:hAnsi="Times New Roman"/>
          <w:color w:val="2B2A29"/>
          <w:sz w:val="20"/>
          <w:szCs w:val="20"/>
        </w:rPr>
        <w:t>3</w:t>
      </w:r>
      <w:r w:rsidRPr="0055419F">
        <w:rPr>
          <w:rFonts w:ascii="Times New Roman" w:hAnsi="Times New Roman"/>
          <w:color w:val="2B2A29"/>
          <w:sz w:val="20"/>
          <w:szCs w:val="20"/>
        </w:rPr>
        <w:t xml:space="preserve">. </w:t>
      </w:r>
      <w:r w:rsidRPr="004057D2">
        <w:rPr>
          <w:rFonts w:ascii="Times New Roman" w:hAnsi="Times New Roman"/>
          <w:color w:val="2B2A29"/>
          <w:sz w:val="20"/>
          <w:szCs w:val="20"/>
        </w:rPr>
        <w:t>The a</w:t>
      </w:r>
      <w:r w:rsidR="00FB5907" w:rsidRPr="004057D2">
        <w:rPr>
          <w:rFonts w:ascii="Times New Roman" w:hAnsi="Times New Roman"/>
          <w:color w:val="2B2A29"/>
          <w:sz w:val="20"/>
          <w:szCs w:val="20"/>
        </w:rPr>
        <w:t xml:space="preserve">uditor’s report </w:t>
      </w:r>
      <w:r w:rsidR="004057D2">
        <w:rPr>
          <w:rFonts w:ascii="Times New Roman" w:hAnsi="Times New Roman"/>
          <w:color w:val="2B2A29"/>
          <w:sz w:val="20"/>
          <w:szCs w:val="20"/>
        </w:rPr>
        <w:t>on</w:t>
      </w:r>
      <w:r w:rsidR="003C6D19">
        <w:rPr>
          <w:rFonts w:ascii="Times New Roman" w:hAnsi="Times New Roman"/>
          <w:color w:val="2B2A29"/>
          <w:sz w:val="20"/>
          <w:szCs w:val="20"/>
        </w:rPr>
        <w:t xml:space="preserve"> the Schedule of Employer Allocations and Pension Amounts by Employer and accompanying notes detail by employer and in aggregate additional information needed to comply with GASB 68.</w:t>
      </w:r>
      <w:r w:rsidR="004057D2">
        <w:rPr>
          <w:rFonts w:ascii="Times New Roman" w:hAnsi="Times New Roman"/>
          <w:color w:val="2B2A29"/>
          <w:sz w:val="20"/>
          <w:szCs w:val="20"/>
        </w:rPr>
        <w:t xml:space="preserve"> </w:t>
      </w:r>
      <w:r w:rsidRPr="004F32ED">
        <w:rPr>
          <w:rFonts w:ascii="Times New Roman" w:hAnsi="Times New Roman"/>
          <w:color w:val="2B2A29"/>
          <w:sz w:val="20"/>
          <w:szCs w:val="20"/>
        </w:rPr>
        <w:t xml:space="preserve">The additional financial and actuarial information is available at </w:t>
      </w:r>
      <w:hyperlink r:id="rId9" w:history="1">
        <w:r w:rsidR="00BA5852" w:rsidRPr="004F32ED">
          <w:rPr>
            <w:rStyle w:val="Hyperlink"/>
            <w:rFonts w:ascii="Times New Roman" w:hAnsi="Times New Roman"/>
            <w:sz w:val="20"/>
            <w:szCs w:val="20"/>
          </w:rPr>
          <w:t>http://www.rsa-al.gov/index.php/employers/financial-reports/gasb-68-reports/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A48725A"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3CA14171" w14:textId="639A1C9C"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04655DF8"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w:t>
      </w:r>
      <w:r w:rsidR="00A7777A">
        <w:rPr>
          <w:rFonts w:ascii="Times New Roman" w:hAnsi="Times New Roman"/>
          <w:b/>
          <w:color w:val="2B2A29"/>
          <w:sz w:val="20"/>
          <w:szCs w:val="20"/>
          <w:u w:val="single"/>
        </w:rPr>
        <w:t>2</w:t>
      </w:r>
      <w:r w:rsidR="00F06DE6">
        <w:rPr>
          <w:rFonts w:ascii="Times New Roman" w:hAnsi="Times New Roman"/>
          <w:b/>
          <w:color w:val="2B2A29"/>
          <w:sz w:val="20"/>
          <w:szCs w:val="20"/>
          <w:u w:val="single"/>
        </w:rPr>
        <w:t>4</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0C687678"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347AC">
        <w:rPr>
          <w:rFonts w:ascii="Times New Roman" w:hAnsi="Times New Roman"/>
          <w:color w:val="2B2A29"/>
          <w:sz w:val="20"/>
          <w:szCs w:val="20"/>
        </w:rPr>
        <w:t xml:space="preserve">                  </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Calculated by 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71724C4F"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C07134" w:rsidRPr="00C07134">
        <w:rPr>
          <w:rFonts w:ascii="Times New Roman" w:hAnsi="Times New Roman"/>
          <w:color w:val="2B2A29"/>
          <w:sz w:val="20"/>
          <w:szCs w:val="20"/>
        </w:rPr>
        <w:t>72.50</w:t>
      </w:r>
      <w:r w:rsidRPr="00C07134">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11976655"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w:t>
      </w:r>
      <w:r w:rsidR="00A7777A">
        <w:rPr>
          <w:rFonts w:ascii="Times New Roman" w:hAnsi="Times New Roman"/>
          <w:b/>
          <w:color w:val="2B2A29"/>
          <w:sz w:val="20"/>
          <w:szCs w:val="20"/>
        </w:rPr>
        <w:t>2</w:t>
      </w:r>
      <w:r w:rsidR="00F06DE6">
        <w:rPr>
          <w:rFonts w:ascii="Times New Roman" w:hAnsi="Times New Roman"/>
          <w:b/>
          <w:color w:val="2B2A29"/>
          <w:sz w:val="20"/>
          <w:szCs w:val="20"/>
        </w:rPr>
        <w:t>4</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1A09DB0C" w14:textId="37ECB1C0"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2021, rates of retirement and mortality were adjusted to more closely reflect actual</w:t>
      </w:r>
      <w:r>
        <w:rPr>
          <w:rFonts w:ascii="Times New Roman" w:hAnsi="Times New Roman"/>
          <w:color w:val="2B2A29"/>
          <w:sz w:val="20"/>
          <w:szCs w:val="20"/>
        </w:rPr>
        <w:t xml:space="preserve"> </w:t>
      </w:r>
      <w:r w:rsidRPr="00EE6B5B">
        <w:rPr>
          <w:rFonts w:ascii="Times New Roman" w:hAnsi="Times New Roman"/>
          <w:color w:val="2B2A29"/>
          <w:sz w:val="20"/>
          <w:szCs w:val="20"/>
        </w:rPr>
        <w:t>experience. In 2021, economic assumptions and the assumed rates of salary increase were adjusted to more closely reflect actual and anticipated experience, including a change in the discount rate from 7.65% to 7.40%. In 2021 and later, the expectation of retired life mortality was changed to the Pub-2010 Teacher Retiree Below Median Tables projected generationally with 66-2/3% of the MP-2020 scale beginning in 2019.</w:t>
      </w:r>
    </w:p>
    <w:p w14:paraId="0725216C"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367FD95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r w:rsidRPr="00EE6B5B">
        <w:rPr>
          <w:rFonts w:ascii="Times New Roman" w:hAnsi="Times New Roman"/>
          <w:color w:val="2B2A29"/>
          <w:sz w:val="20"/>
          <w:szCs w:val="20"/>
        </w:rPr>
        <w:t>In 2018, the discount rate was changed from 7.75% to 7.65%.</w:t>
      </w:r>
    </w:p>
    <w:p w14:paraId="61C1C5C8" w14:textId="77777777" w:rsidR="00EE6B5B" w:rsidRPr="00EE6B5B" w:rsidRDefault="00EE6B5B" w:rsidP="00EE6B5B">
      <w:pPr>
        <w:widowControl w:val="0"/>
        <w:autoSpaceDE w:val="0"/>
        <w:autoSpaceDN w:val="0"/>
        <w:adjustRightInd w:val="0"/>
        <w:spacing w:after="0" w:line="240" w:lineRule="auto"/>
        <w:jc w:val="both"/>
        <w:rPr>
          <w:rFonts w:ascii="Times New Roman" w:hAnsi="Times New Roman"/>
          <w:color w:val="2B2A29"/>
          <w:sz w:val="20"/>
          <w:szCs w:val="20"/>
        </w:rPr>
      </w:pPr>
    </w:p>
    <w:p w14:paraId="6B5E100A" w14:textId="77777777" w:rsidR="004E02C2" w:rsidRDefault="004E02C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08160747" w14:textId="0FD14C05"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w:t>
      </w:r>
      <w:r w:rsidR="00EE6B5B">
        <w:rPr>
          <w:rFonts w:ascii="Times New Roman" w:hAnsi="Times New Roman"/>
          <w:b/>
          <w:i/>
          <w:color w:val="2B2A29"/>
          <w:sz w:val="20"/>
          <w:szCs w:val="20"/>
        </w:rPr>
        <w:t xml:space="preserve"> </w:t>
      </w:r>
      <w:r w:rsidRPr="0055419F">
        <w:rPr>
          <w:rFonts w:ascii="Times New Roman" w:hAnsi="Times New Roman"/>
          <w:b/>
          <w:i/>
          <w:color w:val="2B2A29"/>
          <w:sz w:val="20"/>
          <w:szCs w:val="20"/>
        </w:rPr>
        <w:t>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184FBC35"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w:t>
      </w:r>
      <w:r w:rsidR="00115A0B">
        <w:rPr>
          <w:rFonts w:ascii="Times New Roman" w:hAnsi="Times New Roman"/>
          <w:color w:val="2B2A29"/>
          <w:sz w:val="20"/>
          <w:szCs w:val="20"/>
        </w:rPr>
        <w:t>2</w:t>
      </w:r>
      <w:r w:rsidR="002D2393">
        <w:rPr>
          <w:rFonts w:ascii="Times New Roman" w:hAnsi="Times New Roman"/>
          <w:color w:val="2B2A29"/>
          <w:sz w:val="20"/>
          <w:szCs w:val="20"/>
        </w:rPr>
        <w:t>3</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131CB1B3"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w:t>
      </w:r>
      <w:r w:rsidR="00F06DE6">
        <w:rPr>
          <w:rFonts w:ascii="Times New Roman" w:hAnsi="Times New Roman"/>
          <w:color w:val="2B2A29"/>
          <w:sz w:val="20"/>
          <w:szCs w:val="20"/>
        </w:rPr>
        <w:t>20</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7173B564"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F06DE6">
        <w:rPr>
          <w:rFonts w:ascii="Times New Roman" w:hAnsi="Times New Roman"/>
          <w:color w:val="2B2A29"/>
          <w:sz w:val="20"/>
          <w:szCs w:val="20"/>
        </w:rPr>
        <w:t>18.4</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62BB5B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4A5D3E4C"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w:t>
      </w:r>
      <w:r w:rsidR="00E9209C">
        <w:rPr>
          <w:rFonts w:ascii="Times New Roman" w:hAnsi="Times New Roman"/>
          <w:color w:val="2B2A29"/>
          <w:sz w:val="20"/>
          <w:szCs w:val="20"/>
        </w:rPr>
        <w:t>65</w:t>
      </w:r>
      <w:r w:rsidRPr="0055419F">
        <w:rPr>
          <w:rFonts w:ascii="Times New Roman" w:hAnsi="Times New Roman"/>
          <w:color w:val="2B2A29"/>
          <w:sz w:val="20"/>
          <w:szCs w:val="20"/>
        </w:rPr>
        <w:t>%</w:t>
      </w:r>
    </w:p>
    <w:p w14:paraId="029F75EB" w14:textId="1276EB9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56508D">
        <w:rPr>
          <w:rFonts w:ascii="Times New Roman" w:hAnsi="Times New Roman"/>
          <w:color w:val="2B2A29"/>
          <w:sz w:val="20"/>
          <w:szCs w:val="20"/>
        </w:rPr>
        <w:t>3.25</w:t>
      </w:r>
      <w:r w:rsidRPr="0055419F">
        <w:rPr>
          <w:rFonts w:ascii="Times New Roman" w:hAnsi="Times New Roman"/>
          <w:color w:val="2B2A29"/>
          <w:sz w:val="20"/>
          <w:szCs w:val="20"/>
        </w:rPr>
        <w:t>%</w:t>
      </w:r>
      <w:r w:rsidR="0056508D">
        <w:rPr>
          <w:rFonts w:ascii="Times New Roman" w:hAnsi="Times New Roman"/>
          <w:color w:val="2B2A29"/>
          <w:sz w:val="20"/>
          <w:szCs w:val="20"/>
        </w:rPr>
        <w:t xml:space="preserve"> - 3.50%</w:t>
      </w:r>
    </w:p>
    <w:p w14:paraId="3A7B584B" w14:textId="304D700B"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56508D">
        <w:rPr>
          <w:rFonts w:ascii="Times New Roman" w:hAnsi="Times New Roman"/>
          <w:color w:val="2B2A29"/>
          <w:sz w:val="20"/>
          <w:szCs w:val="20"/>
        </w:rPr>
        <w:t>3.00</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1D36C416"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7A4A" w14:textId="77777777" w:rsidR="002247F1" w:rsidRDefault="002247F1" w:rsidP="00192305">
      <w:pPr>
        <w:spacing w:after="0" w:line="240" w:lineRule="auto"/>
      </w:pPr>
      <w:r>
        <w:separator/>
      </w:r>
    </w:p>
  </w:endnote>
  <w:endnote w:type="continuationSeparator" w:id="0">
    <w:p w14:paraId="39D4C217" w14:textId="77777777" w:rsidR="002247F1" w:rsidRDefault="002247F1"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0FE5" w14:textId="77777777" w:rsidR="002247F1" w:rsidRDefault="002247F1" w:rsidP="00192305">
      <w:pPr>
        <w:spacing w:after="0" w:line="240" w:lineRule="auto"/>
      </w:pPr>
      <w:r>
        <w:separator/>
      </w:r>
    </w:p>
  </w:footnote>
  <w:footnote w:type="continuationSeparator" w:id="0">
    <w:p w14:paraId="18BA3AEF" w14:textId="77777777" w:rsidR="002247F1" w:rsidRDefault="002247F1"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6D"/>
    <w:rsid w:val="00042BB4"/>
    <w:rsid w:val="00063694"/>
    <w:rsid w:val="00064ABC"/>
    <w:rsid w:val="00083169"/>
    <w:rsid w:val="000A49A0"/>
    <w:rsid w:val="00115A0B"/>
    <w:rsid w:val="00122F08"/>
    <w:rsid w:val="00192305"/>
    <w:rsid w:val="001F24D7"/>
    <w:rsid w:val="002247F1"/>
    <w:rsid w:val="00237BD3"/>
    <w:rsid w:val="0024770F"/>
    <w:rsid w:val="002D2393"/>
    <w:rsid w:val="002E22AB"/>
    <w:rsid w:val="002E3CC6"/>
    <w:rsid w:val="00301BFB"/>
    <w:rsid w:val="00313C4B"/>
    <w:rsid w:val="003A44CC"/>
    <w:rsid w:val="003C6D19"/>
    <w:rsid w:val="003D02E1"/>
    <w:rsid w:val="004057D2"/>
    <w:rsid w:val="00414FF5"/>
    <w:rsid w:val="00430832"/>
    <w:rsid w:val="0048430D"/>
    <w:rsid w:val="004A0FCC"/>
    <w:rsid w:val="004D2C3B"/>
    <w:rsid w:val="004E02C2"/>
    <w:rsid w:val="004F32ED"/>
    <w:rsid w:val="005414E6"/>
    <w:rsid w:val="0055419F"/>
    <w:rsid w:val="0056508D"/>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4499B"/>
    <w:rsid w:val="00950F23"/>
    <w:rsid w:val="00954E0C"/>
    <w:rsid w:val="00957492"/>
    <w:rsid w:val="00973E6C"/>
    <w:rsid w:val="00986CC7"/>
    <w:rsid w:val="009A5747"/>
    <w:rsid w:val="00A26B59"/>
    <w:rsid w:val="00A4542D"/>
    <w:rsid w:val="00A64045"/>
    <w:rsid w:val="00A6437C"/>
    <w:rsid w:val="00A7777A"/>
    <w:rsid w:val="00A940AE"/>
    <w:rsid w:val="00A96F6A"/>
    <w:rsid w:val="00AC460A"/>
    <w:rsid w:val="00BA0E5F"/>
    <w:rsid w:val="00BA5852"/>
    <w:rsid w:val="00BE2777"/>
    <w:rsid w:val="00C07134"/>
    <w:rsid w:val="00C146E6"/>
    <w:rsid w:val="00CB06CE"/>
    <w:rsid w:val="00CB1AAB"/>
    <w:rsid w:val="00CB4E29"/>
    <w:rsid w:val="00D85BDA"/>
    <w:rsid w:val="00DA36D2"/>
    <w:rsid w:val="00E10B6E"/>
    <w:rsid w:val="00E21B08"/>
    <w:rsid w:val="00E22CA3"/>
    <w:rsid w:val="00E347AC"/>
    <w:rsid w:val="00E62F17"/>
    <w:rsid w:val="00E9209C"/>
    <w:rsid w:val="00EA520C"/>
    <w:rsid w:val="00EE6B5B"/>
    <w:rsid w:val="00F06DE6"/>
    <w:rsid w:val="00F16979"/>
    <w:rsid w:val="00F16F07"/>
    <w:rsid w:val="00F31F45"/>
    <w:rsid w:val="00F36781"/>
    <w:rsid w:val="00F67B4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 w:type="character" w:styleId="UnresolvedMention">
    <w:name w:val="Unresolved Mention"/>
    <w:basedOn w:val="DefaultParagraphFont"/>
    <w:uiPriority w:val="99"/>
    <w:semiHidden/>
    <w:unhideWhenUsed/>
    <w:rsid w:val="00E3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a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sa-al.gov/index.php/employers/financial-reports/gasb-68-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2008</Words>
  <Characters>11961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5</cp:revision>
  <cp:lastPrinted>2018-09-19T15:47:00Z</cp:lastPrinted>
  <dcterms:created xsi:type="dcterms:W3CDTF">2024-01-17T14:55:00Z</dcterms:created>
  <dcterms:modified xsi:type="dcterms:W3CDTF">2024-02-12T17:37:00Z</dcterms:modified>
</cp:coreProperties>
</file>