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6DA20" w14:textId="75112D76" w:rsidR="0055419F" w:rsidRDefault="008C6D6D" w:rsidP="00E21B08">
      <w:pPr>
        <w:widowControl w:val="0"/>
        <w:autoSpaceDE w:val="0"/>
        <w:autoSpaceDN w:val="0"/>
        <w:adjustRightInd w:val="0"/>
        <w:spacing w:after="0" w:line="240" w:lineRule="auto"/>
        <w:jc w:val="center"/>
        <w:rPr>
          <w:rFonts w:ascii="Times New Roman" w:hAnsi="Times New Roman"/>
          <w:b/>
          <w:color w:val="2B2A29"/>
          <w:spacing w:val="-1"/>
          <w:sz w:val="24"/>
          <w:szCs w:val="24"/>
        </w:rPr>
      </w:pPr>
      <w:bookmarkStart w:id="0" w:name="Pg231"/>
      <w:bookmarkEnd w:id="0"/>
      <w:r w:rsidRPr="0055419F">
        <w:rPr>
          <w:rFonts w:ascii="Times New Roman" w:hAnsi="Times New Roman"/>
          <w:b/>
          <w:color w:val="2B2A29"/>
          <w:spacing w:val="-1"/>
          <w:sz w:val="24"/>
          <w:szCs w:val="24"/>
        </w:rPr>
        <w:t>Illustration 4</w:t>
      </w:r>
      <w:r w:rsidR="00A940AE" w:rsidRPr="0055419F">
        <w:rPr>
          <w:rFonts w:ascii="Times New Roman" w:hAnsi="Times New Roman"/>
          <w:b/>
          <w:color w:val="2B2A29"/>
          <w:spacing w:val="-1"/>
          <w:sz w:val="24"/>
          <w:szCs w:val="24"/>
        </w:rPr>
        <w:t xml:space="preserve"> -- </w:t>
      </w:r>
      <w:r w:rsidRPr="0055419F">
        <w:rPr>
          <w:rFonts w:ascii="Times New Roman" w:hAnsi="Times New Roman"/>
          <w:b/>
          <w:color w:val="2B2A29"/>
          <w:spacing w:val="-1"/>
          <w:sz w:val="24"/>
          <w:szCs w:val="24"/>
        </w:rPr>
        <w:t>Note Disclosures and Required</w:t>
      </w:r>
      <w:r w:rsidR="00E21B08">
        <w:rPr>
          <w:rFonts w:ascii="Times New Roman" w:hAnsi="Times New Roman"/>
          <w:b/>
          <w:color w:val="2B2A29"/>
          <w:spacing w:val="-1"/>
          <w:sz w:val="24"/>
          <w:szCs w:val="24"/>
        </w:rPr>
        <w:t xml:space="preserve"> </w:t>
      </w:r>
      <w:r w:rsidRPr="0055419F">
        <w:rPr>
          <w:rFonts w:ascii="Times New Roman" w:hAnsi="Times New Roman"/>
          <w:b/>
          <w:color w:val="2B2A29"/>
          <w:spacing w:val="4"/>
          <w:sz w:val="24"/>
          <w:szCs w:val="24"/>
        </w:rPr>
        <w:t xml:space="preserve">Supplementary </w:t>
      </w:r>
      <w:r w:rsidR="0055419F">
        <w:rPr>
          <w:rFonts w:ascii="Times New Roman" w:hAnsi="Times New Roman"/>
          <w:b/>
          <w:color w:val="2B2A29"/>
          <w:spacing w:val="4"/>
          <w:sz w:val="24"/>
          <w:szCs w:val="24"/>
        </w:rPr>
        <w:t>Information for a Cost-Sharing</w:t>
      </w:r>
      <w:r w:rsidR="00E21B08">
        <w:rPr>
          <w:rFonts w:ascii="Times New Roman" w:hAnsi="Times New Roman"/>
          <w:b/>
          <w:color w:val="2B2A29"/>
          <w:spacing w:val="-1"/>
          <w:sz w:val="24"/>
          <w:szCs w:val="24"/>
        </w:rPr>
        <w:t xml:space="preserve"> </w:t>
      </w:r>
      <w:r w:rsidRPr="0055419F">
        <w:rPr>
          <w:rFonts w:ascii="Times New Roman" w:hAnsi="Times New Roman"/>
          <w:b/>
          <w:color w:val="2B2A29"/>
          <w:spacing w:val="-1"/>
          <w:sz w:val="24"/>
          <w:szCs w:val="24"/>
        </w:rPr>
        <w:t>Employer That H</w:t>
      </w:r>
      <w:r w:rsidR="0055419F">
        <w:rPr>
          <w:rFonts w:ascii="Times New Roman" w:hAnsi="Times New Roman"/>
          <w:b/>
          <w:color w:val="2B2A29"/>
          <w:spacing w:val="-1"/>
          <w:sz w:val="24"/>
          <w:szCs w:val="24"/>
        </w:rPr>
        <w:t>as a Special Funding Situation</w:t>
      </w:r>
    </w:p>
    <w:p w14:paraId="6F8AFD3A" w14:textId="77777777" w:rsidR="00A26B59" w:rsidRPr="0055419F" w:rsidRDefault="008C6D6D" w:rsidP="00664870">
      <w:pPr>
        <w:widowControl w:val="0"/>
        <w:autoSpaceDE w:val="0"/>
        <w:autoSpaceDN w:val="0"/>
        <w:adjustRightInd w:val="0"/>
        <w:spacing w:after="0" w:line="240" w:lineRule="auto"/>
        <w:jc w:val="center"/>
        <w:rPr>
          <w:rFonts w:ascii="Times New Roman" w:hAnsi="Times New Roman"/>
          <w:b/>
          <w:color w:val="2B2A29"/>
          <w:spacing w:val="-1"/>
          <w:sz w:val="24"/>
          <w:szCs w:val="24"/>
        </w:rPr>
      </w:pPr>
      <w:r w:rsidRPr="0055419F">
        <w:rPr>
          <w:rFonts w:ascii="Times New Roman" w:hAnsi="Times New Roman"/>
          <w:b/>
          <w:color w:val="2B2A29"/>
          <w:spacing w:val="-1"/>
          <w:sz w:val="24"/>
          <w:szCs w:val="24"/>
        </w:rPr>
        <w:t>(No Other Nonemployer Contributing Entities)</w:t>
      </w:r>
    </w:p>
    <w:p w14:paraId="422180B9" w14:textId="77777777" w:rsidR="00A26B59" w:rsidRPr="00986CC7" w:rsidRDefault="00A26B59" w:rsidP="00664870">
      <w:pPr>
        <w:widowControl w:val="0"/>
        <w:autoSpaceDE w:val="0"/>
        <w:autoSpaceDN w:val="0"/>
        <w:adjustRightInd w:val="0"/>
        <w:spacing w:after="0" w:line="240" w:lineRule="auto"/>
        <w:jc w:val="both"/>
        <w:rPr>
          <w:rFonts w:ascii="Times New Roman" w:hAnsi="Times New Roman"/>
          <w:color w:val="2B2A29"/>
          <w:spacing w:val="-1"/>
          <w:sz w:val="25"/>
          <w:szCs w:val="25"/>
        </w:rPr>
      </w:pPr>
    </w:p>
    <w:p w14:paraId="1A540D5B" w14:textId="164E8EAD" w:rsidR="00A26B59" w:rsidRPr="0055419F" w:rsidRDefault="008C6D6D" w:rsidP="005A2583">
      <w:pPr>
        <w:widowControl w:val="0"/>
        <w:autoSpaceDE w:val="0"/>
        <w:autoSpaceDN w:val="0"/>
        <w:adjustRightInd w:val="0"/>
        <w:spacing w:after="0" w:line="240" w:lineRule="auto"/>
        <w:jc w:val="center"/>
        <w:rPr>
          <w:rFonts w:ascii="Times New Roman" w:hAnsi="Times New Roman"/>
          <w:i/>
          <w:iCs/>
          <w:color w:val="2B2A29"/>
          <w:spacing w:val="-3"/>
          <w:sz w:val="20"/>
          <w:szCs w:val="20"/>
        </w:rPr>
      </w:pPr>
      <w:r w:rsidRPr="0055419F">
        <w:rPr>
          <w:rFonts w:ascii="Times New Roman" w:hAnsi="Times New Roman"/>
          <w:i/>
          <w:iCs/>
          <w:color w:val="2B2A29"/>
          <w:spacing w:val="-1"/>
          <w:sz w:val="20"/>
          <w:szCs w:val="20"/>
        </w:rPr>
        <w:t>[Note: This illustration includes only note disclosures and required supplemen</w:t>
      </w:r>
      <w:r w:rsidRPr="0055419F">
        <w:rPr>
          <w:rFonts w:ascii="Times New Roman" w:hAnsi="Times New Roman"/>
          <w:i/>
          <w:iCs/>
          <w:color w:val="2B2A29"/>
          <w:spacing w:val="-3"/>
          <w:sz w:val="20"/>
          <w:szCs w:val="20"/>
        </w:rPr>
        <w:t>tary information required by this Statement.</w:t>
      </w:r>
      <w:r w:rsidR="00986CC7" w:rsidRPr="0055419F">
        <w:rPr>
          <w:rFonts w:ascii="Times New Roman" w:hAnsi="Times New Roman"/>
          <w:i/>
          <w:iCs/>
          <w:color w:val="2B2A29"/>
          <w:spacing w:val="-3"/>
          <w:sz w:val="20"/>
          <w:szCs w:val="20"/>
        </w:rPr>
        <w:t>]</w:t>
      </w:r>
    </w:p>
    <w:p w14:paraId="25910EDD"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i/>
          <w:iCs/>
          <w:color w:val="2B2A29"/>
          <w:spacing w:val="-3"/>
          <w:sz w:val="20"/>
          <w:szCs w:val="20"/>
        </w:rPr>
      </w:pPr>
    </w:p>
    <w:p w14:paraId="48F3ED9B" w14:textId="77777777" w:rsidR="00986CC7" w:rsidRPr="0055419F" w:rsidRDefault="00986CC7" w:rsidP="00664870">
      <w:pPr>
        <w:autoSpaceDE w:val="0"/>
        <w:autoSpaceDN w:val="0"/>
        <w:adjustRightInd w:val="0"/>
        <w:spacing w:after="0" w:line="240" w:lineRule="auto"/>
        <w:jc w:val="center"/>
        <w:rPr>
          <w:rFonts w:ascii="Times New Roman" w:eastAsia="Calibri" w:hAnsi="Times New Roman"/>
          <w:b/>
          <w:bCs/>
          <w:sz w:val="20"/>
          <w:szCs w:val="20"/>
        </w:rPr>
      </w:pPr>
      <w:r w:rsidRPr="0055419F">
        <w:rPr>
          <w:rFonts w:ascii="Times New Roman" w:eastAsia="Calibri" w:hAnsi="Times New Roman"/>
          <w:b/>
          <w:bCs/>
          <w:sz w:val="20"/>
          <w:szCs w:val="20"/>
        </w:rPr>
        <w:t>Sample County</w:t>
      </w:r>
    </w:p>
    <w:p w14:paraId="0261BF75" w14:textId="14CFC6F6" w:rsidR="00986CC7" w:rsidRPr="0055419F" w:rsidRDefault="00986CC7" w:rsidP="005A2583">
      <w:pPr>
        <w:autoSpaceDE w:val="0"/>
        <w:autoSpaceDN w:val="0"/>
        <w:adjustRightInd w:val="0"/>
        <w:spacing w:after="0" w:line="240" w:lineRule="auto"/>
        <w:jc w:val="center"/>
        <w:rPr>
          <w:rFonts w:ascii="Times New Roman" w:eastAsia="Calibri" w:hAnsi="Times New Roman"/>
          <w:b/>
          <w:bCs/>
          <w:sz w:val="20"/>
          <w:szCs w:val="20"/>
        </w:rPr>
      </w:pPr>
      <w:r w:rsidRPr="0055419F">
        <w:rPr>
          <w:rFonts w:ascii="Times New Roman" w:eastAsia="Calibri" w:hAnsi="Times New Roman"/>
          <w:b/>
          <w:bCs/>
          <w:sz w:val="20"/>
          <w:szCs w:val="20"/>
        </w:rPr>
        <w:t>Notes to the Financial Statements</w:t>
      </w:r>
      <w:r w:rsidR="005A2583">
        <w:rPr>
          <w:rFonts w:ascii="Times New Roman" w:eastAsia="Calibri" w:hAnsi="Times New Roman"/>
          <w:b/>
          <w:bCs/>
          <w:sz w:val="20"/>
          <w:szCs w:val="20"/>
        </w:rPr>
        <w:t xml:space="preserve"> </w:t>
      </w:r>
      <w:r w:rsidRPr="0055419F">
        <w:rPr>
          <w:rFonts w:ascii="Times New Roman" w:eastAsia="Calibri" w:hAnsi="Times New Roman"/>
          <w:b/>
          <w:bCs/>
          <w:sz w:val="20"/>
          <w:szCs w:val="20"/>
        </w:rPr>
        <w:t>for t</w:t>
      </w:r>
      <w:r w:rsidR="00BA5852" w:rsidRPr="0055419F">
        <w:rPr>
          <w:rFonts w:ascii="Times New Roman" w:eastAsia="Calibri" w:hAnsi="Times New Roman"/>
          <w:b/>
          <w:bCs/>
          <w:sz w:val="20"/>
          <w:szCs w:val="20"/>
        </w:rPr>
        <w:t xml:space="preserve">he </w:t>
      </w:r>
      <w:r w:rsidR="00664870">
        <w:rPr>
          <w:rFonts w:ascii="Times New Roman" w:eastAsia="Calibri" w:hAnsi="Times New Roman"/>
          <w:b/>
          <w:bCs/>
          <w:sz w:val="20"/>
          <w:szCs w:val="20"/>
        </w:rPr>
        <w:t xml:space="preserve">Fiscal </w:t>
      </w:r>
      <w:r w:rsidR="00BA5852" w:rsidRPr="0055419F">
        <w:rPr>
          <w:rFonts w:ascii="Times New Roman" w:eastAsia="Calibri" w:hAnsi="Times New Roman"/>
          <w:b/>
          <w:bCs/>
          <w:sz w:val="20"/>
          <w:szCs w:val="20"/>
        </w:rPr>
        <w:t xml:space="preserve">Year Ended September 30, </w:t>
      </w:r>
      <w:r w:rsidR="003D02E1">
        <w:rPr>
          <w:rFonts w:ascii="Times New Roman" w:eastAsia="Calibri" w:hAnsi="Times New Roman"/>
          <w:b/>
          <w:bCs/>
          <w:sz w:val="20"/>
          <w:szCs w:val="20"/>
        </w:rPr>
        <w:t>20</w:t>
      </w:r>
      <w:r w:rsidR="00A7777A">
        <w:rPr>
          <w:rFonts w:ascii="Times New Roman" w:eastAsia="Calibri" w:hAnsi="Times New Roman"/>
          <w:b/>
          <w:bCs/>
          <w:sz w:val="20"/>
          <w:szCs w:val="20"/>
        </w:rPr>
        <w:t>2</w:t>
      </w:r>
      <w:r w:rsidR="0094499B">
        <w:rPr>
          <w:rFonts w:ascii="Times New Roman" w:eastAsia="Calibri" w:hAnsi="Times New Roman"/>
          <w:b/>
          <w:bCs/>
          <w:sz w:val="20"/>
          <w:szCs w:val="20"/>
        </w:rPr>
        <w:t>3</w:t>
      </w:r>
    </w:p>
    <w:p w14:paraId="7AFA8A39" w14:textId="77777777" w:rsidR="00A26B59" w:rsidRPr="0055419F" w:rsidRDefault="008C6D6D" w:rsidP="00664870">
      <w:pPr>
        <w:widowControl w:val="0"/>
        <w:autoSpaceDE w:val="0"/>
        <w:autoSpaceDN w:val="0"/>
        <w:adjustRightInd w:val="0"/>
        <w:spacing w:after="0" w:line="240" w:lineRule="auto"/>
        <w:jc w:val="center"/>
        <w:rPr>
          <w:rFonts w:ascii="Times New Roman" w:hAnsi="Times New Roman"/>
          <w:color w:val="2B2A29"/>
          <w:sz w:val="20"/>
          <w:szCs w:val="20"/>
        </w:rPr>
      </w:pPr>
      <w:r w:rsidRPr="0055419F">
        <w:rPr>
          <w:rFonts w:ascii="Times New Roman" w:hAnsi="Times New Roman"/>
          <w:color w:val="2B2A29"/>
          <w:sz w:val="20"/>
          <w:szCs w:val="20"/>
        </w:rPr>
        <w:t>(Dollar amounts in thousands)</w:t>
      </w:r>
    </w:p>
    <w:p w14:paraId="789598AE"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color w:val="2B2A29"/>
          <w:sz w:val="20"/>
          <w:szCs w:val="20"/>
        </w:rPr>
      </w:pPr>
    </w:p>
    <w:p w14:paraId="1E0F323D" w14:textId="77777777" w:rsidR="00A26B59" w:rsidRPr="0055419F" w:rsidRDefault="008C6D6D" w:rsidP="00664870">
      <w:pPr>
        <w:widowControl w:val="0"/>
        <w:autoSpaceDE w:val="0"/>
        <w:autoSpaceDN w:val="0"/>
        <w:adjustRightInd w:val="0"/>
        <w:spacing w:after="0" w:line="240" w:lineRule="auto"/>
        <w:jc w:val="both"/>
        <w:rPr>
          <w:rFonts w:ascii="Times New Roman" w:hAnsi="Times New Roman"/>
          <w:b/>
          <w:color w:val="2B2A29"/>
          <w:spacing w:val="-1"/>
          <w:sz w:val="20"/>
          <w:szCs w:val="20"/>
        </w:rPr>
      </w:pPr>
      <w:r w:rsidRPr="0055419F">
        <w:rPr>
          <w:rFonts w:ascii="Times New Roman" w:hAnsi="Times New Roman"/>
          <w:b/>
          <w:color w:val="2B2A29"/>
          <w:spacing w:val="-1"/>
          <w:sz w:val="20"/>
          <w:szCs w:val="20"/>
        </w:rPr>
        <w:t xml:space="preserve">Summary of Significant Accounting Policies </w:t>
      </w:r>
    </w:p>
    <w:p w14:paraId="48071EB5"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color w:val="2B2A29"/>
          <w:spacing w:val="-1"/>
          <w:sz w:val="20"/>
          <w:szCs w:val="20"/>
        </w:rPr>
      </w:pPr>
    </w:p>
    <w:p w14:paraId="5431E9B5" w14:textId="77777777" w:rsidR="00986CC7" w:rsidRPr="0055419F" w:rsidRDefault="005414E6" w:rsidP="00664870">
      <w:pPr>
        <w:widowControl w:val="0"/>
        <w:autoSpaceDE w:val="0"/>
        <w:autoSpaceDN w:val="0"/>
        <w:adjustRightInd w:val="0"/>
        <w:spacing w:after="0" w:line="240" w:lineRule="auto"/>
        <w:jc w:val="both"/>
        <w:rPr>
          <w:rFonts w:ascii="Times New Roman" w:hAnsi="Times New Roman"/>
          <w:color w:val="2B2A29"/>
          <w:spacing w:val="-3"/>
          <w:sz w:val="20"/>
          <w:szCs w:val="20"/>
        </w:rPr>
      </w:pPr>
      <w:r w:rsidRPr="0055419F">
        <w:rPr>
          <w:rFonts w:ascii="Times New Roman" w:hAnsi="Times New Roman"/>
          <w:b/>
          <w:i/>
          <w:iCs/>
          <w:color w:val="2B2A29"/>
          <w:spacing w:val="-3"/>
          <w:sz w:val="20"/>
          <w:szCs w:val="20"/>
        </w:rPr>
        <w:t>Pensions</w:t>
      </w:r>
      <w:r w:rsidR="008C6D6D" w:rsidRPr="0055419F">
        <w:rPr>
          <w:rFonts w:ascii="Times New Roman" w:hAnsi="Times New Roman"/>
          <w:color w:val="2B2A29"/>
          <w:spacing w:val="-3"/>
          <w:sz w:val="20"/>
          <w:szCs w:val="20"/>
        </w:rPr>
        <w:t xml:space="preserve"> </w:t>
      </w:r>
    </w:p>
    <w:p w14:paraId="19DFAA6F" w14:textId="77777777" w:rsidR="00986CC7" w:rsidRPr="0055419F" w:rsidRDefault="00986CC7" w:rsidP="00664870">
      <w:pPr>
        <w:widowControl w:val="0"/>
        <w:autoSpaceDE w:val="0"/>
        <w:autoSpaceDN w:val="0"/>
        <w:adjustRightInd w:val="0"/>
        <w:spacing w:after="0" w:line="240" w:lineRule="auto"/>
        <w:jc w:val="both"/>
        <w:rPr>
          <w:rFonts w:ascii="Times New Roman" w:hAnsi="Times New Roman"/>
          <w:color w:val="2B2A29"/>
          <w:spacing w:val="-3"/>
          <w:sz w:val="20"/>
          <w:szCs w:val="20"/>
        </w:rPr>
      </w:pPr>
    </w:p>
    <w:p w14:paraId="349A2A75" w14:textId="1747BD8D" w:rsidR="00986CC7" w:rsidRPr="0055419F" w:rsidRDefault="00986CC7" w:rsidP="00664870">
      <w:pPr>
        <w:widowControl w:val="0"/>
        <w:autoSpaceDE w:val="0"/>
        <w:autoSpaceDN w:val="0"/>
        <w:adjustRightInd w:val="0"/>
        <w:spacing w:after="0" w:line="240" w:lineRule="auto"/>
        <w:jc w:val="both"/>
        <w:rPr>
          <w:rFonts w:ascii="Times New Roman" w:hAnsi="Times New Roman"/>
          <w:color w:val="2B2A29"/>
          <w:spacing w:val="-3"/>
          <w:sz w:val="20"/>
          <w:szCs w:val="20"/>
        </w:rPr>
      </w:pPr>
      <w:r w:rsidRPr="0055419F">
        <w:rPr>
          <w:rFonts w:ascii="Times New Roman" w:hAnsi="Times New Roman"/>
          <w:color w:val="2B2A29"/>
          <w:spacing w:val="-3"/>
          <w:sz w:val="20"/>
          <w:szCs w:val="20"/>
        </w:rPr>
        <w:t>The Judicial Reti</w:t>
      </w:r>
      <w:r w:rsidR="004D2C3B" w:rsidRPr="0055419F">
        <w:rPr>
          <w:rFonts w:ascii="Times New Roman" w:hAnsi="Times New Roman"/>
          <w:color w:val="2B2A29"/>
          <w:spacing w:val="-3"/>
          <w:sz w:val="20"/>
          <w:szCs w:val="20"/>
        </w:rPr>
        <w:t>rement Fund of Alabama</w:t>
      </w:r>
      <w:r w:rsidR="00606DD6">
        <w:rPr>
          <w:rFonts w:ascii="Times New Roman" w:hAnsi="Times New Roman"/>
          <w:color w:val="2B2A29"/>
          <w:spacing w:val="-3"/>
          <w:sz w:val="20"/>
          <w:szCs w:val="20"/>
        </w:rPr>
        <w:t>’s</w:t>
      </w:r>
      <w:r w:rsidR="004D2C3B" w:rsidRPr="0055419F">
        <w:rPr>
          <w:rFonts w:ascii="Times New Roman" w:hAnsi="Times New Roman"/>
          <w:color w:val="2B2A29"/>
          <w:spacing w:val="-3"/>
          <w:sz w:val="20"/>
          <w:szCs w:val="20"/>
        </w:rPr>
        <w:t xml:space="preserve"> (the Plan</w:t>
      </w:r>
      <w:r w:rsidR="00664870">
        <w:rPr>
          <w:rFonts w:ascii="Times New Roman" w:hAnsi="Times New Roman"/>
          <w:color w:val="2B2A29"/>
          <w:spacing w:val="-3"/>
          <w:sz w:val="20"/>
          <w:szCs w:val="20"/>
        </w:rPr>
        <w:t xml:space="preserve"> or JRF</w:t>
      </w:r>
      <w:r w:rsidRPr="0055419F">
        <w:rPr>
          <w:rFonts w:ascii="Times New Roman" w:hAnsi="Times New Roman"/>
          <w:color w:val="2B2A29"/>
          <w:spacing w:val="-3"/>
          <w:sz w:val="20"/>
          <w:szCs w:val="20"/>
        </w:rPr>
        <w:t xml:space="preserve">) financial statements are prepared using the economic resources measurement focus and accrual basis of accounting. </w:t>
      </w:r>
      <w:r w:rsidRPr="0055419F">
        <w:rPr>
          <w:rFonts w:ascii="Times New Roman" w:hAnsi="Times New Roman"/>
          <w:sz w:val="20"/>
          <w:szCs w:val="20"/>
        </w:rPr>
        <w:t xml:space="preserve">Contributions are recognized as revenues when earned, pursuant to </w:t>
      </w:r>
      <w:r w:rsidR="00664870">
        <w:rPr>
          <w:rFonts w:ascii="Times New Roman" w:hAnsi="Times New Roman"/>
          <w:sz w:val="20"/>
          <w:szCs w:val="20"/>
        </w:rPr>
        <w:t>P</w:t>
      </w:r>
      <w:r w:rsidRPr="0055419F">
        <w:rPr>
          <w:rFonts w:ascii="Times New Roman" w:hAnsi="Times New Roman"/>
          <w:sz w:val="20"/>
          <w:szCs w:val="20"/>
        </w:rPr>
        <w:t xml:space="preserve">lan requirements. Benefits and refunds are recognized when due and payable in accordance with the terms of the </w:t>
      </w:r>
      <w:r w:rsidR="00664870">
        <w:rPr>
          <w:rFonts w:ascii="Times New Roman" w:hAnsi="Times New Roman"/>
          <w:sz w:val="20"/>
          <w:szCs w:val="20"/>
        </w:rPr>
        <w:t>P</w:t>
      </w:r>
      <w:r w:rsidRPr="0055419F">
        <w:rPr>
          <w:rFonts w:ascii="Times New Roman" w:hAnsi="Times New Roman"/>
          <w:sz w:val="20"/>
          <w:szCs w:val="20"/>
        </w:rPr>
        <w:t xml:space="preserve">lan. Expenses are recognized when the corresponding liability is incurred, regardless of when the payment is made. Investments are reported at fair value. Financial statements are prepared in accordance with requirements of the Governmental Accounting Standards Board (GASB). Under these requirements, </w:t>
      </w:r>
      <w:r w:rsidR="00E10B6E" w:rsidRPr="0055419F">
        <w:rPr>
          <w:rFonts w:ascii="Times New Roman" w:hAnsi="Times New Roman"/>
          <w:sz w:val="20"/>
          <w:szCs w:val="20"/>
        </w:rPr>
        <w:t>the Plan</w:t>
      </w:r>
      <w:r w:rsidRPr="0055419F">
        <w:rPr>
          <w:rFonts w:ascii="Times New Roman" w:hAnsi="Times New Roman"/>
          <w:sz w:val="20"/>
          <w:szCs w:val="20"/>
        </w:rPr>
        <w:t xml:space="preserve"> is considered a component unit of the State of Alabama and is included in the State’s </w:t>
      </w:r>
      <w:r w:rsidR="0056508D">
        <w:rPr>
          <w:rFonts w:ascii="Times New Roman" w:hAnsi="Times New Roman"/>
          <w:sz w:val="20"/>
          <w:szCs w:val="20"/>
        </w:rPr>
        <w:t xml:space="preserve">Annual </w:t>
      </w:r>
      <w:r w:rsidRPr="0055419F">
        <w:rPr>
          <w:rFonts w:ascii="Times New Roman" w:hAnsi="Times New Roman"/>
          <w:sz w:val="20"/>
          <w:szCs w:val="20"/>
        </w:rPr>
        <w:t xml:space="preserve">Comprehensive </w:t>
      </w:r>
      <w:r w:rsidR="0056508D">
        <w:rPr>
          <w:rFonts w:ascii="Times New Roman" w:hAnsi="Times New Roman"/>
          <w:sz w:val="20"/>
          <w:szCs w:val="20"/>
        </w:rPr>
        <w:t>Financial</w:t>
      </w:r>
      <w:r w:rsidRPr="0055419F">
        <w:rPr>
          <w:rFonts w:ascii="Times New Roman" w:hAnsi="Times New Roman"/>
          <w:sz w:val="20"/>
          <w:szCs w:val="20"/>
        </w:rPr>
        <w:t xml:space="preserve"> Report.</w:t>
      </w:r>
    </w:p>
    <w:p w14:paraId="195BA4F2"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color w:val="2B2A29"/>
          <w:sz w:val="20"/>
          <w:szCs w:val="20"/>
        </w:rPr>
      </w:pPr>
    </w:p>
    <w:p w14:paraId="6BD3949B" w14:textId="77777777" w:rsidR="005414E6" w:rsidRPr="0055419F" w:rsidRDefault="005414E6" w:rsidP="00664870">
      <w:pPr>
        <w:tabs>
          <w:tab w:val="left" w:pos="542"/>
        </w:tabs>
        <w:spacing w:after="0" w:line="240" w:lineRule="auto"/>
        <w:jc w:val="both"/>
        <w:rPr>
          <w:rFonts w:ascii="Times New Roman" w:hAnsi="Times New Roman"/>
          <w:b/>
          <w:iCs/>
          <w:color w:val="2B2A29"/>
          <w:sz w:val="20"/>
          <w:szCs w:val="20"/>
        </w:rPr>
      </w:pPr>
      <w:bookmarkStart w:id="1" w:name="Pg232"/>
      <w:bookmarkEnd w:id="1"/>
      <w:r w:rsidRPr="0055419F">
        <w:rPr>
          <w:rFonts w:ascii="Times New Roman" w:hAnsi="Times New Roman"/>
          <w:b/>
          <w:sz w:val="20"/>
          <w:szCs w:val="20"/>
        </w:rPr>
        <w:t>G</w:t>
      </w:r>
      <w:r w:rsidR="008C6D6D" w:rsidRPr="0055419F">
        <w:rPr>
          <w:rFonts w:ascii="Times New Roman" w:hAnsi="Times New Roman"/>
          <w:b/>
          <w:iCs/>
          <w:color w:val="2B2A29"/>
          <w:sz w:val="20"/>
          <w:szCs w:val="20"/>
        </w:rPr>
        <w:t xml:space="preserve">eneral Information about the Pension Plan </w:t>
      </w:r>
    </w:p>
    <w:p w14:paraId="2EF8DD18" w14:textId="77777777" w:rsidR="00A940AE" w:rsidRPr="0055419F" w:rsidRDefault="00A940AE" w:rsidP="00664870">
      <w:pPr>
        <w:tabs>
          <w:tab w:val="left" w:pos="542"/>
        </w:tabs>
        <w:spacing w:after="0" w:line="240" w:lineRule="auto"/>
        <w:jc w:val="both"/>
        <w:rPr>
          <w:rFonts w:ascii="Times New Roman" w:hAnsi="Times New Roman"/>
          <w:b/>
          <w:i/>
          <w:iCs/>
          <w:color w:val="2B2A29"/>
          <w:spacing w:val="-1"/>
          <w:sz w:val="20"/>
          <w:szCs w:val="20"/>
        </w:rPr>
      </w:pPr>
    </w:p>
    <w:p w14:paraId="1C46B305" w14:textId="73D86F6C" w:rsidR="00986CC7" w:rsidRPr="0055419F" w:rsidRDefault="005A2583" w:rsidP="00664870">
      <w:pPr>
        <w:tabs>
          <w:tab w:val="left" w:pos="542"/>
        </w:tabs>
        <w:spacing w:after="0" w:line="240" w:lineRule="auto"/>
        <w:jc w:val="both"/>
        <w:rPr>
          <w:rFonts w:ascii="Times New Roman" w:hAnsi="Times New Roman"/>
          <w:i/>
          <w:iCs/>
          <w:color w:val="2B2A29"/>
          <w:sz w:val="20"/>
          <w:szCs w:val="20"/>
        </w:rPr>
      </w:pPr>
      <w:r>
        <w:rPr>
          <w:rFonts w:ascii="Times New Roman" w:hAnsi="Times New Roman"/>
          <w:b/>
          <w:i/>
          <w:iCs/>
          <w:color w:val="2B2A29"/>
          <w:spacing w:val="-1"/>
          <w:sz w:val="20"/>
          <w:szCs w:val="20"/>
        </w:rPr>
        <w:t>Plan D</w:t>
      </w:r>
      <w:r w:rsidR="008C6D6D" w:rsidRPr="0055419F">
        <w:rPr>
          <w:rFonts w:ascii="Times New Roman" w:hAnsi="Times New Roman"/>
          <w:b/>
          <w:i/>
          <w:iCs/>
          <w:color w:val="2B2A29"/>
          <w:spacing w:val="-1"/>
          <w:sz w:val="20"/>
          <w:szCs w:val="20"/>
        </w:rPr>
        <w:t>escription</w:t>
      </w:r>
    </w:p>
    <w:p w14:paraId="5F4E7D5D" w14:textId="77777777" w:rsidR="00950F23" w:rsidRPr="0055419F" w:rsidRDefault="00950F23" w:rsidP="00664870">
      <w:pPr>
        <w:widowControl w:val="0"/>
        <w:autoSpaceDE w:val="0"/>
        <w:autoSpaceDN w:val="0"/>
        <w:adjustRightInd w:val="0"/>
        <w:spacing w:after="0" w:line="240" w:lineRule="auto"/>
        <w:jc w:val="both"/>
        <w:rPr>
          <w:rFonts w:ascii="Times New Roman" w:hAnsi="Times New Roman"/>
          <w:b/>
          <w:color w:val="2B2A29"/>
          <w:spacing w:val="-1"/>
          <w:sz w:val="20"/>
          <w:szCs w:val="20"/>
        </w:rPr>
      </w:pPr>
    </w:p>
    <w:p w14:paraId="78F7E646" w14:textId="35C103FE" w:rsidR="00A26B59" w:rsidRPr="00E21B08" w:rsidRDefault="00664870" w:rsidP="00E21B08">
      <w:pPr>
        <w:spacing w:after="0" w:line="240" w:lineRule="auto"/>
        <w:jc w:val="both"/>
        <w:rPr>
          <w:rFonts w:ascii="Times New Roman" w:hAnsi="Times New Roman"/>
          <w:sz w:val="20"/>
          <w:szCs w:val="20"/>
        </w:rPr>
      </w:pPr>
      <w:r w:rsidRPr="00664870">
        <w:rPr>
          <w:rFonts w:ascii="Times New Roman" w:hAnsi="Times New Roman"/>
          <w:sz w:val="20"/>
          <w:szCs w:val="20"/>
        </w:rPr>
        <w:t xml:space="preserve">The JRF, a cost-sharing multiple-employer public employee retirement plan, was established as of September 18, 1973, pursuant to the </w:t>
      </w:r>
      <w:r w:rsidRPr="00664870">
        <w:rPr>
          <w:rFonts w:ascii="Times New Roman" w:hAnsi="Times New Roman"/>
          <w:i/>
          <w:sz w:val="20"/>
          <w:szCs w:val="20"/>
        </w:rPr>
        <w:t xml:space="preserve">Code of Alabama 1975, Title 12, Chapter 18 </w:t>
      </w:r>
      <w:r w:rsidRPr="00664870">
        <w:rPr>
          <w:rFonts w:ascii="Times New Roman" w:hAnsi="Times New Roman"/>
          <w:sz w:val="20"/>
          <w:szCs w:val="20"/>
        </w:rPr>
        <w:t xml:space="preserve">(Act 1163 of the Legislature of 1973) for the purpose of providing retirement allowances and other specified benefits for any Justice of the Supreme Court of Alabama, Judge of the Court of Civil Appeals, Judge of the Court of Criminal Appeals, Judge of the Circuit Court, or office holder of any newly created judicial office receiving compensation from the State Treasury. The </w:t>
      </w:r>
      <w:r w:rsidRPr="00664870">
        <w:rPr>
          <w:rFonts w:ascii="Times New Roman" w:hAnsi="Times New Roman"/>
          <w:i/>
          <w:sz w:val="20"/>
          <w:szCs w:val="20"/>
        </w:rPr>
        <w:t>Code of Alabama 1975, Title 12, Chapter 18, Articles 3 &amp; 4</w:t>
      </w:r>
      <w:r w:rsidRPr="00664870">
        <w:rPr>
          <w:rFonts w:ascii="Times New Roman" w:hAnsi="Times New Roman"/>
          <w:sz w:val="20"/>
          <w:szCs w:val="20"/>
        </w:rPr>
        <w:t xml:space="preserve"> (Act 1205 of the Legislature of 1975) enlarged the scope and coverage of the JRF to include District and Probate Judges, respectively.</w:t>
      </w:r>
      <w:r w:rsidR="0056508D">
        <w:rPr>
          <w:rFonts w:ascii="Times New Roman" w:hAnsi="Times New Roman"/>
          <w:sz w:val="20"/>
          <w:szCs w:val="20"/>
        </w:rPr>
        <w:t xml:space="preserve"> The </w:t>
      </w:r>
      <w:r w:rsidR="0056508D" w:rsidRPr="00664870">
        <w:rPr>
          <w:rFonts w:ascii="Times New Roman" w:hAnsi="Times New Roman"/>
          <w:i/>
          <w:sz w:val="20"/>
          <w:szCs w:val="20"/>
        </w:rPr>
        <w:t>Code of Alabama 1975, Title 12, Chapter</w:t>
      </w:r>
      <w:r w:rsidR="0056508D">
        <w:rPr>
          <w:rFonts w:ascii="Times New Roman" w:hAnsi="Times New Roman"/>
          <w:i/>
          <w:sz w:val="20"/>
          <w:szCs w:val="20"/>
        </w:rPr>
        <w:t xml:space="preserve"> 18, Article 7 </w:t>
      </w:r>
      <w:r w:rsidR="0056508D">
        <w:rPr>
          <w:rFonts w:ascii="Times New Roman" w:hAnsi="Times New Roman"/>
          <w:iCs/>
          <w:sz w:val="20"/>
          <w:szCs w:val="20"/>
        </w:rPr>
        <w:t xml:space="preserve">(Act 498 of the Legislature of 2015) established the Judges’ and Clerks’ Plan within the JRF for any Judge or Clerk elected on appointed on or after November 8, 2016, and was not a member of the JRF or the Clerks’ and Registers’ Supernumerary Fund prior to that date. The </w:t>
      </w:r>
      <w:r w:rsidR="0056508D" w:rsidRPr="00664870">
        <w:rPr>
          <w:rFonts w:ascii="Times New Roman" w:hAnsi="Times New Roman"/>
          <w:i/>
          <w:sz w:val="20"/>
          <w:szCs w:val="20"/>
        </w:rPr>
        <w:t xml:space="preserve">Code of Alabama 1975, </w:t>
      </w:r>
      <w:r w:rsidR="0056508D">
        <w:rPr>
          <w:rFonts w:ascii="Times New Roman" w:hAnsi="Times New Roman"/>
          <w:i/>
          <w:sz w:val="20"/>
          <w:szCs w:val="20"/>
        </w:rPr>
        <w:t xml:space="preserve">Section 12-17-22 </w:t>
      </w:r>
      <w:r w:rsidR="0056508D">
        <w:rPr>
          <w:rFonts w:ascii="Times New Roman" w:hAnsi="Times New Roman"/>
          <w:iCs/>
          <w:sz w:val="20"/>
          <w:szCs w:val="20"/>
        </w:rPr>
        <w:t>(Act 498 of the Legislature of 2015) established the District Attorneys’ Plan within the JRF for any District Attorney servicing in the capacity of District Attorney on or after November 8, 2016.</w:t>
      </w:r>
      <w:r w:rsidRPr="00664870">
        <w:rPr>
          <w:rFonts w:ascii="Times New Roman" w:hAnsi="Times New Roman"/>
          <w:sz w:val="20"/>
          <w:szCs w:val="20"/>
        </w:rPr>
        <w:t xml:space="preserve"> The responsibility for the general administration and operation of the JRF is vested in the Board of Control of the ERS.</w:t>
      </w:r>
      <w:r w:rsidR="00E21B08">
        <w:rPr>
          <w:rFonts w:ascii="Times New Roman" w:hAnsi="Times New Roman"/>
          <w:sz w:val="20"/>
          <w:szCs w:val="20"/>
        </w:rPr>
        <w:t xml:space="preserve"> </w:t>
      </w:r>
      <w:r w:rsidR="009047CF" w:rsidRPr="0055419F">
        <w:rPr>
          <w:rFonts w:ascii="Times New Roman" w:hAnsi="Times New Roman"/>
          <w:sz w:val="20"/>
          <w:szCs w:val="20"/>
        </w:rPr>
        <w:t>The Plan</w:t>
      </w:r>
      <w:r w:rsidR="00986CC7" w:rsidRPr="0055419F">
        <w:rPr>
          <w:rFonts w:ascii="Times New Roman" w:hAnsi="Times New Roman"/>
          <w:sz w:val="20"/>
          <w:szCs w:val="20"/>
        </w:rPr>
        <w:t xml:space="preserve"> </w:t>
      </w:r>
      <w:r w:rsidR="005414E6" w:rsidRPr="0055419F">
        <w:rPr>
          <w:rFonts w:ascii="Times New Roman" w:hAnsi="Times New Roman"/>
          <w:sz w:val="20"/>
          <w:szCs w:val="20"/>
        </w:rPr>
        <w:t xml:space="preserve">issues a publicly available financial report that can be obtained at </w:t>
      </w:r>
      <w:hyperlink r:id="rId6" w:history="1">
        <w:r w:rsidR="00E347AC" w:rsidRPr="00D11B2A">
          <w:rPr>
            <w:rStyle w:val="Hyperlink"/>
            <w:rFonts w:ascii="Times New Roman" w:hAnsi="Times New Roman"/>
            <w:sz w:val="20"/>
            <w:szCs w:val="20"/>
          </w:rPr>
          <w:t>www.rsa-al.gov</w:t>
        </w:r>
      </w:hyperlink>
      <w:r w:rsidR="00063694" w:rsidRPr="0055419F">
        <w:rPr>
          <w:rFonts w:ascii="Times New Roman" w:hAnsi="Times New Roman"/>
          <w:sz w:val="20"/>
          <w:szCs w:val="20"/>
        </w:rPr>
        <w:t>.</w:t>
      </w:r>
    </w:p>
    <w:p w14:paraId="594A0F61" w14:textId="77777777" w:rsidR="00A940AE" w:rsidRPr="0055419F" w:rsidRDefault="00A940AE" w:rsidP="00664870">
      <w:pPr>
        <w:widowControl w:val="0"/>
        <w:autoSpaceDE w:val="0"/>
        <w:autoSpaceDN w:val="0"/>
        <w:adjustRightInd w:val="0"/>
        <w:spacing w:after="0" w:line="240" w:lineRule="auto"/>
        <w:jc w:val="both"/>
        <w:rPr>
          <w:rFonts w:ascii="Times New Roman" w:hAnsi="Times New Roman"/>
          <w:b/>
          <w:i/>
          <w:iCs/>
          <w:color w:val="2B2A29"/>
          <w:w w:val="103"/>
          <w:sz w:val="20"/>
          <w:szCs w:val="20"/>
        </w:rPr>
      </w:pPr>
    </w:p>
    <w:p w14:paraId="093CD123" w14:textId="57662D86" w:rsidR="005414E6" w:rsidRPr="0055419F" w:rsidRDefault="005A2583" w:rsidP="00664870">
      <w:pPr>
        <w:widowControl w:val="0"/>
        <w:autoSpaceDE w:val="0"/>
        <w:autoSpaceDN w:val="0"/>
        <w:adjustRightInd w:val="0"/>
        <w:spacing w:after="0" w:line="240" w:lineRule="auto"/>
        <w:jc w:val="both"/>
        <w:rPr>
          <w:rFonts w:ascii="Times New Roman" w:hAnsi="Times New Roman"/>
          <w:i/>
          <w:iCs/>
          <w:color w:val="2B2A29"/>
          <w:w w:val="103"/>
          <w:sz w:val="20"/>
          <w:szCs w:val="20"/>
        </w:rPr>
      </w:pPr>
      <w:r>
        <w:rPr>
          <w:rFonts w:ascii="Times New Roman" w:hAnsi="Times New Roman"/>
          <w:b/>
          <w:i/>
          <w:iCs/>
          <w:color w:val="2B2A29"/>
          <w:w w:val="103"/>
          <w:sz w:val="20"/>
          <w:szCs w:val="20"/>
        </w:rPr>
        <w:t>Benefits P</w:t>
      </w:r>
      <w:r w:rsidR="008C6D6D" w:rsidRPr="0055419F">
        <w:rPr>
          <w:rFonts w:ascii="Times New Roman" w:hAnsi="Times New Roman"/>
          <w:b/>
          <w:i/>
          <w:iCs/>
          <w:color w:val="2B2A29"/>
          <w:w w:val="103"/>
          <w:sz w:val="20"/>
          <w:szCs w:val="20"/>
        </w:rPr>
        <w:t>rovided</w:t>
      </w:r>
    </w:p>
    <w:p w14:paraId="7D2FD778" w14:textId="77777777" w:rsidR="00950F23" w:rsidRPr="0055419F" w:rsidRDefault="008C6D6D" w:rsidP="00664870">
      <w:pPr>
        <w:widowControl w:val="0"/>
        <w:autoSpaceDE w:val="0"/>
        <w:autoSpaceDN w:val="0"/>
        <w:adjustRightInd w:val="0"/>
        <w:spacing w:after="0" w:line="240" w:lineRule="auto"/>
        <w:jc w:val="both"/>
        <w:rPr>
          <w:rFonts w:ascii="Times New Roman" w:hAnsi="Times New Roman"/>
          <w:color w:val="2B2A29"/>
          <w:w w:val="103"/>
          <w:sz w:val="20"/>
          <w:szCs w:val="20"/>
        </w:rPr>
      </w:pPr>
      <w:r w:rsidRPr="0055419F">
        <w:rPr>
          <w:rFonts w:ascii="Times New Roman" w:hAnsi="Times New Roman"/>
          <w:color w:val="2B2A29"/>
          <w:w w:val="103"/>
          <w:sz w:val="20"/>
          <w:szCs w:val="20"/>
        </w:rPr>
        <w:t xml:space="preserve"> </w:t>
      </w:r>
    </w:p>
    <w:p w14:paraId="2F6A19CB" w14:textId="77777777" w:rsidR="00A26B59" w:rsidRDefault="00083169" w:rsidP="00664870">
      <w:pPr>
        <w:widowControl w:val="0"/>
        <w:autoSpaceDE w:val="0"/>
        <w:autoSpaceDN w:val="0"/>
        <w:adjustRightInd w:val="0"/>
        <w:spacing w:after="0" w:line="240" w:lineRule="auto"/>
        <w:jc w:val="both"/>
        <w:rPr>
          <w:rFonts w:ascii="Times New Roman" w:hAnsi="Times New Roman"/>
          <w:sz w:val="20"/>
          <w:szCs w:val="20"/>
        </w:rPr>
      </w:pPr>
      <w:r w:rsidRPr="0055419F">
        <w:rPr>
          <w:rFonts w:ascii="Times New Roman" w:hAnsi="Times New Roman"/>
          <w:sz w:val="20"/>
          <w:szCs w:val="20"/>
        </w:rPr>
        <w:t>The Plan</w:t>
      </w:r>
      <w:r w:rsidR="005414E6" w:rsidRPr="0055419F">
        <w:rPr>
          <w:rFonts w:ascii="Times New Roman" w:hAnsi="Times New Roman"/>
          <w:sz w:val="20"/>
          <w:szCs w:val="20"/>
        </w:rPr>
        <w:t xml:space="preserve"> benefits vest from five to eighteen years. Except for justices or judges who were either disabled, elected prior to July 30, 1979, or have at least 25 years of creditable service, no justice or judge is eligible to receive judicial service retirement pay prior to attaining age 60. Service retirement benefits for justices and judges are dependent upon the particular office held in the judicial branch of government. A retirement benefit is payable upon the request of any member who has: (1) 25 years of creditable service (regardless of age), (2) completed 12 years of creditable service and has attained age 65, (3) completed 15 years of creditable service and whose age plus service equals or exceeds 77, (4) completed 10 years of creditable service and has attained age 70 or (5) been elected prior to July 30, 1979, and has 18 years of service (regardless of age). A member eligible to retire who has not requested his or her retirement benefit to commence at the end of the term in which the member’s 70th birthday occurs is entitled only to the refund of his or her contributions (except for members with at least 25 years of creditable service). The service retirement benefit </w:t>
      </w:r>
      <w:r w:rsidR="005414E6" w:rsidRPr="0055419F">
        <w:rPr>
          <w:rFonts w:ascii="Times New Roman" w:hAnsi="Times New Roman"/>
          <w:sz w:val="20"/>
          <w:szCs w:val="20"/>
        </w:rPr>
        <w:lastRenderedPageBreak/>
        <w:t>for circuit, appellate, and probate judges is 75% of the member’s salary at the time of separation from service. The service retirement benefit for a district judge is 75% of the position’s salary immediately prior to retirement.</w:t>
      </w:r>
    </w:p>
    <w:p w14:paraId="146C5CB0" w14:textId="77777777" w:rsidR="00664870" w:rsidRDefault="00664870" w:rsidP="00664870">
      <w:pPr>
        <w:widowControl w:val="0"/>
        <w:autoSpaceDE w:val="0"/>
        <w:autoSpaceDN w:val="0"/>
        <w:adjustRightInd w:val="0"/>
        <w:spacing w:after="0" w:line="240" w:lineRule="auto"/>
        <w:jc w:val="both"/>
        <w:rPr>
          <w:rFonts w:ascii="Times New Roman" w:hAnsi="Times New Roman"/>
          <w:sz w:val="20"/>
          <w:szCs w:val="20"/>
        </w:rPr>
      </w:pPr>
    </w:p>
    <w:p w14:paraId="0359CAA6" w14:textId="77777777" w:rsidR="00E21B08" w:rsidRDefault="00E21B08" w:rsidP="00664870">
      <w:pPr>
        <w:widowControl w:val="0"/>
        <w:autoSpaceDE w:val="0"/>
        <w:autoSpaceDN w:val="0"/>
        <w:adjustRightInd w:val="0"/>
        <w:spacing w:after="0" w:line="240" w:lineRule="auto"/>
        <w:jc w:val="both"/>
        <w:rPr>
          <w:rFonts w:ascii="Times New Roman" w:hAnsi="Times New Roman"/>
          <w:sz w:val="20"/>
          <w:szCs w:val="20"/>
        </w:rPr>
      </w:pPr>
    </w:p>
    <w:p w14:paraId="1C2C7A8C" w14:textId="77777777" w:rsidR="00664870" w:rsidRPr="00E21B08" w:rsidRDefault="00664870" w:rsidP="00E21B08">
      <w:pPr>
        <w:pStyle w:val="BodyText"/>
        <w:tabs>
          <w:tab w:val="clear" w:pos="-1368"/>
          <w:tab w:val="clear" w:pos="-720"/>
          <w:tab w:val="clear" w:pos="0"/>
          <w:tab w:val="clear" w:pos="720"/>
          <w:tab w:val="clear" w:pos="1440"/>
          <w:tab w:val="clear" w:pos="2160"/>
          <w:tab w:val="clear" w:pos="2880"/>
          <w:tab w:val="clear" w:pos="3600"/>
          <w:tab w:val="clear" w:pos="4320"/>
          <w:tab w:val="clear" w:pos="5040"/>
          <w:tab w:val="clear" w:pos="5760"/>
          <w:tab w:val="clear" w:pos="6372"/>
          <w:tab w:val="clear" w:pos="7200"/>
          <w:tab w:val="clear" w:pos="7812"/>
          <w:tab w:val="clear" w:pos="8640"/>
        </w:tabs>
        <w:spacing w:line="240" w:lineRule="auto"/>
        <w:rPr>
          <w:color w:val="auto"/>
        </w:rPr>
      </w:pPr>
      <w:bookmarkStart w:id="2" w:name="_Hlk109306718"/>
      <w:r>
        <w:rPr>
          <w:color w:val="auto"/>
        </w:rPr>
        <w:t>Act 498 of the Legislature of 2015 established a new group (Group 3) of members within JRF which consists of all justices, judges, circuit clerks, and district attorneys elected or appointed on or after November 8, 2016. Group 3 members are eligible for retirement after age 62 with 10 years or more of creditable service and are entitled to an annual retirement benefit, payable monthly for life. A district attorney who has Tier 1 ERS transferred service as an assistant or deputy district attorney is eligible for service retirement with 25 years of service credit, regardless of age. Service and disability retirement benefits are calculated using a retirement formula. Group 3 members who are judges or justices are allowed 4% of their average final compensation (highest 5 of the last 10 years) for each year of service up to 75% of their average final compensation. Group 3 members who are clerks or district attorneys are allowed 3% of their average final compensation (highest 5 of the last 10 years) for each year of service up to 80% of their average final compensation.</w:t>
      </w:r>
    </w:p>
    <w:bookmarkEnd w:id="2"/>
    <w:p w14:paraId="7165FF95" w14:textId="77777777" w:rsidR="00950F23" w:rsidRPr="0055419F" w:rsidRDefault="00950F23" w:rsidP="00664870">
      <w:pPr>
        <w:widowControl w:val="0"/>
        <w:autoSpaceDE w:val="0"/>
        <w:autoSpaceDN w:val="0"/>
        <w:adjustRightInd w:val="0"/>
        <w:spacing w:after="0" w:line="240" w:lineRule="auto"/>
        <w:jc w:val="both"/>
        <w:rPr>
          <w:rFonts w:ascii="Times New Roman" w:hAnsi="Times New Roman"/>
          <w:b/>
          <w:i/>
          <w:iCs/>
          <w:color w:val="2B2A29"/>
          <w:spacing w:val="-1"/>
          <w:sz w:val="20"/>
          <w:szCs w:val="20"/>
        </w:rPr>
      </w:pPr>
    </w:p>
    <w:p w14:paraId="710AF634" w14:textId="77777777" w:rsidR="005414E6" w:rsidRPr="0055419F" w:rsidRDefault="005414E6" w:rsidP="00664870">
      <w:pPr>
        <w:widowControl w:val="0"/>
        <w:autoSpaceDE w:val="0"/>
        <w:autoSpaceDN w:val="0"/>
        <w:adjustRightInd w:val="0"/>
        <w:spacing w:after="0" w:line="240" w:lineRule="auto"/>
        <w:jc w:val="both"/>
        <w:rPr>
          <w:rFonts w:ascii="Times New Roman" w:hAnsi="Times New Roman"/>
          <w:b/>
          <w:i/>
          <w:iCs/>
          <w:color w:val="2B2A29"/>
          <w:spacing w:val="-1"/>
          <w:sz w:val="20"/>
          <w:szCs w:val="20"/>
        </w:rPr>
      </w:pPr>
      <w:r w:rsidRPr="0055419F">
        <w:rPr>
          <w:rFonts w:ascii="Times New Roman" w:hAnsi="Times New Roman"/>
          <w:b/>
          <w:i/>
          <w:iCs/>
          <w:color w:val="2B2A29"/>
          <w:spacing w:val="-1"/>
          <w:sz w:val="20"/>
          <w:szCs w:val="20"/>
        </w:rPr>
        <w:t>Contributions</w:t>
      </w:r>
    </w:p>
    <w:p w14:paraId="4C942B7D" w14:textId="77777777" w:rsidR="00A26B59" w:rsidRPr="0055419F" w:rsidRDefault="008C6D6D" w:rsidP="00664870">
      <w:pPr>
        <w:widowControl w:val="0"/>
        <w:autoSpaceDE w:val="0"/>
        <w:autoSpaceDN w:val="0"/>
        <w:adjustRightInd w:val="0"/>
        <w:spacing w:after="0" w:line="240" w:lineRule="auto"/>
        <w:jc w:val="both"/>
        <w:rPr>
          <w:rFonts w:ascii="Times New Roman" w:hAnsi="Times New Roman"/>
          <w:color w:val="2B2A29"/>
          <w:spacing w:val="-1"/>
          <w:sz w:val="20"/>
          <w:szCs w:val="20"/>
        </w:rPr>
      </w:pPr>
      <w:r w:rsidRPr="0055419F">
        <w:rPr>
          <w:rFonts w:ascii="Times New Roman" w:hAnsi="Times New Roman"/>
          <w:color w:val="2B2A29"/>
          <w:spacing w:val="-1"/>
          <w:sz w:val="20"/>
          <w:szCs w:val="20"/>
        </w:rPr>
        <w:t xml:space="preserve"> </w:t>
      </w:r>
    </w:p>
    <w:p w14:paraId="6B554B53" w14:textId="77777777" w:rsidR="005414E6" w:rsidRPr="0055419F" w:rsidRDefault="00083169"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sz w:val="20"/>
          <w:szCs w:val="20"/>
        </w:rPr>
        <w:t>Plan</w:t>
      </w:r>
      <w:r w:rsidR="005414E6" w:rsidRPr="0055419F">
        <w:rPr>
          <w:rFonts w:ascii="Times New Roman" w:hAnsi="Times New Roman"/>
          <w:sz w:val="20"/>
          <w:szCs w:val="20"/>
        </w:rPr>
        <w:t xml:space="preserve"> members contributed 6% of earnable compensation as required by statute until September 30, 2011. From October 1, </w:t>
      </w:r>
      <w:r w:rsidR="009376A7" w:rsidRPr="0055419F">
        <w:rPr>
          <w:rFonts w:ascii="Times New Roman" w:hAnsi="Times New Roman"/>
          <w:sz w:val="20"/>
          <w:szCs w:val="20"/>
        </w:rPr>
        <w:t>2011</w:t>
      </w:r>
      <w:r w:rsidRPr="0055419F">
        <w:rPr>
          <w:rFonts w:ascii="Times New Roman" w:hAnsi="Times New Roman"/>
          <w:sz w:val="20"/>
          <w:szCs w:val="20"/>
        </w:rPr>
        <w:t xml:space="preserve"> to September 30, 2012, Plan</w:t>
      </w:r>
      <w:r w:rsidR="005414E6" w:rsidRPr="0055419F">
        <w:rPr>
          <w:rFonts w:ascii="Times New Roman" w:hAnsi="Times New Roman"/>
          <w:sz w:val="20"/>
          <w:szCs w:val="20"/>
        </w:rPr>
        <w:t xml:space="preserve"> members were required by statute to contribute 8.25% of earnable compensation</w:t>
      </w:r>
      <w:r w:rsidRPr="0055419F">
        <w:rPr>
          <w:rFonts w:ascii="Times New Roman" w:hAnsi="Times New Roman"/>
          <w:sz w:val="20"/>
          <w:szCs w:val="20"/>
        </w:rPr>
        <w:t>. Effective October 1, 2012, Plan</w:t>
      </w:r>
      <w:r w:rsidR="005414E6" w:rsidRPr="0055419F">
        <w:rPr>
          <w:rFonts w:ascii="Times New Roman" w:hAnsi="Times New Roman"/>
          <w:sz w:val="20"/>
          <w:szCs w:val="20"/>
        </w:rPr>
        <w:t xml:space="preserve"> members are required by statute to contribute 8.50% of earnable compensation.</w:t>
      </w:r>
    </w:p>
    <w:p w14:paraId="4237A517" w14:textId="77777777" w:rsidR="00950F23" w:rsidRPr="0055419F" w:rsidRDefault="00950F23" w:rsidP="00664870">
      <w:pPr>
        <w:widowControl w:val="0"/>
        <w:autoSpaceDE w:val="0"/>
        <w:autoSpaceDN w:val="0"/>
        <w:adjustRightInd w:val="0"/>
        <w:spacing w:after="0" w:line="240" w:lineRule="auto"/>
        <w:jc w:val="both"/>
        <w:rPr>
          <w:rFonts w:ascii="Times New Roman" w:hAnsi="Times New Roman"/>
          <w:color w:val="2B2A29"/>
          <w:spacing w:val="-1"/>
          <w:sz w:val="20"/>
          <w:szCs w:val="20"/>
        </w:rPr>
      </w:pPr>
    </w:p>
    <w:p w14:paraId="6BC53998" w14:textId="77777777" w:rsidR="00A26B59" w:rsidRPr="0055419F" w:rsidRDefault="00950F23" w:rsidP="00664870">
      <w:pPr>
        <w:widowControl w:val="0"/>
        <w:autoSpaceDE w:val="0"/>
        <w:autoSpaceDN w:val="0"/>
        <w:adjustRightInd w:val="0"/>
        <w:spacing w:after="0" w:line="240" w:lineRule="auto"/>
        <w:jc w:val="both"/>
        <w:rPr>
          <w:rFonts w:ascii="Times New Roman" w:hAnsi="Times New Roman"/>
          <w:b/>
          <w:i/>
          <w:iCs/>
          <w:color w:val="2B2A29"/>
          <w:sz w:val="20"/>
          <w:szCs w:val="20"/>
        </w:rPr>
      </w:pPr>
      <w:bookmarkStart w:id="3" w:name="Pg233"/>
      <w:bookmarkEnd w:id="3"/>
      <w:r w:rsidRPr="0055419F">
        <w:rPr>
          <w:rFonts w:ascii="Times New Roman" w:hAnsi="Times New Roman"/>
          <w:b/>
          <w:i/>
          <w:iCs/>
          <w:color w:val="2B2A29"/>
          <w:sz w:val="20"/>
          <w:szCs w:val="20"/>
        </w:rPr>
        <w:t>Pension Liabilities and Pension Expense</w:t>
      </w:r>
    </w:p>
    <w:p w14:paraId="083F7F0C"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i/>
          <w:iCs/>
          <w:color w:val="2B2A29"/>
          <w:sz w:val="20"/>
          <w:szCs w:val="20"/>
        </w:rPr>
      </w:pPr>
    </w:p>
    <w:p w14:paraId="06F9A889" w14:textId="4FE45EDC" w:rsidR="00950F23" w:rsidRPr="0055419F" w:rsidRDefault="00950F23" w:rsidP="00664870">
      <w:pPr>
        <w:widowControl w:val="0"/>
        <w:autoSpaceDE w:val="0"/>
        <w:autoSpaceDN w:val="0"/>
        <w:adjustRightInd w:val="0"/>
        <w:spacing w:after="0" w:line="240" w:lineRule="auto"/>
        <w:jc w:val="both"/>
        <w:rPr>
          <w:rFonts w:ascii="Times New Roman" w:hAnsi="Times New Roman"/>
          <w:color w:val="2B2A29"/>
          <w:spacing w:val="-2"/>
          <w:sz w:val="20"/>
          <w:szCs w:val="20"/>
        </w:rPr>
      </w:pPr>
      <w:r w:rsidRPr="0055419F">
        <w:rPr>
          <w:rFonts w:ascii="Times New Roman" w:hAnsi="Times New Roman"/>
          <w:color w:val="2B2A29"/>
          <w:spacing w:val="-2"/>
          <w:sz w:val="20"/>
          <w:szCs w:val="20"/>
        </w:rPr>
        <w:t>At Se</w:t>
      </w:r>
      <w:r w:rsidR="00BA5852" w:rsidRPr="0055419F">
        <w:rPr>
          <w:rFonts w:ascii="Times New Roman" w:hAnsi="Times New Roman"/>
          <w:color w:val="2B2A29"/>
          <w:spacing w:val="-2"/>
          <w:sz w:val="20"/>
          <w:szCs w:val="20"/>
        </w:rPr>
        <w:t xml:space="preserve">ptember 30, </w:t>
      </w:r>
      <w:r w:rsidR="003D02E1">
        <w:rPr>
          <w:rFonts w:ascii="Times New Roman" w:hAnsi="Times New Roman"/>
          <w:color w:val="2B2A29"/>
          <w:spacing w:val="-2"/>
          <w:sz w:val="20"/>
          <w:szCs w:val="20"/>
        </w:rPr>
        <w:t>20</w:t>
      </w:r>
      <w:r w:rsidR="00A7777A">
        <w:rPr>
          <w:rFonts w:ascii="Times New Roman" w:hAnsi="Times New Roman"/>
          <w:color w:val="2B2A29"/>
          <w:spacing w:val="-2"/>
          <w:sz w:val="20"/>
          <w:szCs w:val="20"/>
        </w:rPr>
        <w:t>2</w:t>
      </w:r>
      <w:r w:rsidR="0094499B">
        <w:rPr>
          <w:rFonts w:ascii="Times New Roman" w:hAnsi="Times New Roman"/>
          <w:color w:val="2B2A29"/>
          <w:spacing w:val="-2"/>
          <w:sz w:val="20"/>
          <w:szCs w:val="20"/>
        </w:rPr>
        <w:t>3</w:t>
      </w:r>
      <w:r w:rsidR="00664870">
        <w:rPr>
          <w:rFonts w:ascii="Times New Roman" w:hAnsi="Times New Roman"/>
          <w:color w:val="2B2A29"/>
          <w:spacing w:val="-2"/>
          <w:sz w:val="20"/>
          <w:szCs w:val="20"/>
        </w:rPr>
        <w:t xml:space="preserve">, </w:t>
      </w:r>
      <w:r w:rsidR="003A44CC" w:rsidRPr="0055419F">
        <w:rPr>
          <w:rFonts w:ascii="Times New Roman" w:hAnsi="Times New Roman"/>
          <w:color w:val="2B2A29"/>
          <w:spacing w:val="-2"/>
          <w:sz w:val="20"/>
          <w:szCs w:val="20"/>
        </w:rPr>
        <w:t>[E</w:t>
      </w:r>
      <w:r w:rsidR="00576279" w:rsidRPr="0055419F">
        <w:rPr>
          <w:rFonts w:ascii="Times New Roman" w:hAnsi="Times New Roman"/>
          <w:color w:val="2B2A29"/>
          <w:spacing w:val="-2"/>
          <w:sz w:val="20"/>
          <w:szCs w:val="20"/>
        </w:rPr>
        <w:t>mployer</w:t>
      </w:r>
      <w:r w:rsidR="00C146E6" w:rsidRPr="0055419F">
        <w:rPr>
          <w:rFonts w:ascii="Times New Roman" w:hAnsi="Times New Roman"/>
          <w:color w:val="2B2A29"/>
          <w:spacing w:val="-2"/>
          <w:sz w:val="20"/>
          <w:szCs w:val="20"/>
        </w:rPr>
        <w:t xml:space="preserve"> name]</w:t>
      </w:r>
      <w:r w:rsidR="00A940AE" w:rsidRPr="0055419F">
        <w:rPr>
          <w:rFonts w:ascii="Times New Roman" w:hAnsi="Times New Roman"/>
          <w:color w:val="2B2A29"/>
          <w:spacing w:val="-2"/>
          <w:sz w:val="20"/>
          <w:szCs w:val="20"/>
        </w:rPr>
        <w:t xml:space="preserve"> </w:t>
      </w:r>
      <w:r w:rsidRPr="0055419F">
        <w:rPr>
          <w:rFonts w:ascii="Times New Roman" w:hAnsi="Times New Roman"/>
          <w:color w:val="2B2A29"/>
          <w:spacing w:val="-2"/>
          <w:sz w:val="20"/>
          <w:szCs w:val="20"/>
        </w:rPr>
        <w:t>did not have a liability for a proportionate share of the net pension liability because of the related State of Alabama</w:t>
      </w:r>
      <w:r w:rsidR="00E10B6E" w:rsidRPr="0055419F">
        <w:rPr>
          <w:rFonts w:ascii="Times New Roman" w:hAnsi="Times New Roman"/>
          <w:color w:val="2B2A29"/>
          <w:spacing w:val="-2"/>
          <w:sz w:val="20"/>
          <w:szCs w:val="20"/>
        </w:rPr>
        <w:t xml:space="preserve"> </w:t>
      </w:r>
      <w:r w:rsidR="00C146E6" w:rsidRPr="0055419F">
        <w:rPr>
          <w:rFonts w:ascii="Times New Roman" w:hAnsi="Times New Roman"/>
          <w:color w:val="2B2A29"/>
          <w:spacing w:val="-2"/>
          <w:sz w:val="20"/>
          <w:szCs w:val="20"/>
        </w:rPr>
        <w:t>s</w:t>
      </w:r>
      <w:r w:rsidRPr="0055419F">
        <w:rPr>
          <w:rFonts w:ascii="Times New Roman" w:hAnsi="Times New Roman"/>
          <w:color w:val="2B2A29"/>
          <w:spacing w:val="-2"/>
          <w:sz w:val="20"/>
          <w:szCs w:val="20"/>
        </w:rPr>
        <w:t>upport. The amount of the State</w:t>
      </w:r>
      <w:r w:rsidR="00C146E6" w:rsidRPr="0055419F">
        <w:rPr>
          <w:rFonts w:ascii="Times New Roman" w:hAnsi="Times New Roman"/>
          <w:color w:val="2B2A29"/>
          <w:spacing w:val="-2"/>
          <w:sz w:val="20"/>
          <w:szCs w:val="20"/>
        </w:rPr>
        <w:t xml:space="preserve"> of Alabama’s</w:t>
      </w:r>
      <w:r w:rsidRPr="0055419F">
        <w:rPr>
          <w:rFonts w:ascii="Times New Roman" w:hAnsi="Times New Roman"/>
          <w:color w:val="2B2A29"/>
          <w:spacing w:val="-2"/>
          <w:sz w:val="20"/>
          <w:szCs w:val="20"/>
        </w:rPr>
        <w:t xml:space="preserve"> proportionate share of net pension liability associated with </w:t>
      </w:r>
      <w:r w:rsidR="003A44CC" w:rsidRPr="0055419F">
        <w:rPr>
          <w:rFonts w:ascii="Times New Roman" w:hAnsi="Times New Roman"/>
          <w:color w:val="2B2A29"/>
          <w:spacing w:val="-2"/>
          <w:sz w:val="20"/>
          <w:szCs w:val="20"/>
        </w:rPr>
        <w:t>[E</w:t>
      </w:r>
      <w:r w:rsidR="00C146E6" w:rsidRPr="0055419F">
        <w:rPr>
          <w:rFonts w:ascii="Times New Roman" w:hAnsi="Times New Roman"/>
          <w:color w:val="2B2A29"/>
          <w:spacing w:val="-2"/>
          <w:sz w:val="20"/>
          <w:szCs w:val="20"/>
        </w:rPr>
        <w:t>mployer name]</w:t>
      </w:r>
      <w:r w:rsidRPr="0055419F">
        <w:rPr>
          <w:rFonts w:ascii="Times New Roman" w:hAnsi="Times New Roman"/>
          <w:color w:val="2B2A29"/>
          <w:spacing w:val="-2"/>
          <w:sz w:val="20"/>
          <w:szCs w:val="20"/>
        </w:rPr>
        <w:t xml:space="preserve"> is as follows:</w:t>
      </w:r>
    </w:p>
    <w:p w14:paraId="32C33396" w14:textId="77777777" w:rsidR="00950F23" w:rsidRPr="0055419F" w:rsidRDefault="00950F23" w:rsidP="00664870">
      <w:pPr>
        <w:widowControl w:val="0"/>
        <w:autoSpaceDE w:val="0"/>
        <w:autoSpaceDN w:val="0"/>
        <w:adjustRightInd w:val="0"/>
        <w:spacing w:after="0" w:line="240" w:lineRule="auto"/>
        <w:jc w:val="both"/>
        <w:rPr>
          <w:rFonts w:ascii="Times New Roman" w:hAnsi="Times New Roman"/>
          <w:color w:val="2B2A29"/>
          <w:spacing w:val="-2"/>
          <w:sz w:val="20"/>
          <w:szCs w:val="20"/>
        </w:rPr>
      </w:pPr>
    </w:p>
    <w:p w14:paraId="63B8296C" w14:textId="427EF972" w:rsidR="00E21B08" w:rsidRDefault="00950F23" w:rsidP="00664870">
      <w:pPr>
        <w:widowControl w:val="0"/>
        <w:autoSpaceDE w:val="0"/>
        <w:autoSpaceDN w:val="0"/>
        <w:adjustRightInd w:val="0"/>
        <w:spacing w:after="0" w:line="240" w:lineRule="auto"/>
        <w:jc w:val="both"/>
        <w:rPr>
          <w:rFonts w:ascii="Times New Roman" w:hAnsi="Times New Roman"/>
          <w:color w:val="2B2A29"/>
          <w:spacing w:val="-2"/>
          <w:sz w:val="20"/>
          <w:szCs w:val="20"/>
        </w:rPr>
      </w:pPr>
      <w:r w:rsidRPr="0055419F">
        <w:rPr>
          <w:rFonts w:ascii="Times New Roman" w:hAnsi="Times New Roman"/>
          <w:color w:val="2B2A29"/>
          <w:spacing w:val="-2"/>
          <w:sz w:val="20"/>
          <w:szCs w:val="20"/>
        </w:rPr>
        <w:t>State of Alabama’</w:t>
      </w:r>
      <w:r w:rsidR="005A2583">
        <w:rPr>
          <w:rFonts w:ascii="Times New Roman" w:hAnsi="Times New Roman"/>
          <w:color w:val="2B2A29"/>
          <w:spacing w:val="-2"/>
          <w:sz w:val="20"/>
          <w:szCs w:val="20"/>
        </w:rPr>
        <w:t>s Proportionate S</w:t>
      </w:r>
      <w:r w:rsidR="00E21B08">
        <w:rPr>
          <w:rFonts w:ascii="Times New Roman" w:hAnsi="Times New Roman"/>
          <w:color w:val="2B2A29"/>
          <w:spacing w:val="-2"/>
          <w:sz w:val="20"/>
          <w:szCs w:val="20"/>
        </w:rPr>
        <w:t>hare of the</w:t>
      </w:r>
    </w:p>
    <w:p w14:paraId="394E6931" w14:textId="03B22522" w:rsidR="00A26B59" w:rsidRPr="0055419F" w:rsidRDefault="005A2583" w:rsidP="00E21B08">
      <w:pPr>
        <w:widowControl w:val="0"/>
        <w:autoSpaceDE w:val="0"/>
        <w:autoSpaceDN w:val="0"/>
        <w:adjustRightInd w:val="0"/>
        <w:spacing w:after="0" w:line="240" w:lineRule="auto"/>
        <w:ind w:left="400" w:firstLine="80"/>
        <w:jc w:val="both"/>
        <w:rPr>
          <w:rFonts w:ascii="Times New Roman" w:hAnsi="Times New Roman"/>
          <w:color w:val="2B2A29"/>
          <w:spacing w:val="-2"/>
          <w:sz w:val="20"/>
          <w:szCs w:val="20"/>
        </w:rPr>
      </w:pPr>
      <w:r>
        <w:rPr>
          <w:rFonts w:ascii="Times New Roman" w:hAnsi="Times New Roman"/>
          <w:color w:val="2B2A29"/>
          <w:spacing w:val="-2"/>
          <w:sz w:val="20"/>
          <w:szCs w:val="20"/>
        </w:rPr>
        <w:t>N</w:t>
      </w:r>
      <w:r w:rsidR="00E21B08">
        <w:rPr>
          <w:rFonts w:ascii="Times New Roman" w:hAnsi="Times New Roman"/>
          <w:color w:val="2B2A29"/>
          <w:spacing w:val="-2"/>
          <w:sz w:val="20"/>
          <w:szCs w:val="20"/>
        </w:rPr>
        <w:t xml:space="preserve">et </w:t>
      </w:r>
      <w:r>
        <w:rPr>
          <w:rFonts w:ascii="Times New Roman" w:hAnsi="Times New Roman"/>
          <w:color w:val="2B2A29"/>
          <w:spacing w:val="-2"/>
          <w:sz w:val="20"/>
          <w:szCs w:val="20"/>
        </w:rPr>
        <w:t>Pension L</w:t>
      </w:r>
      <w:r w:rsidR="00950F23" w:rsidRPr="0055419F">
        <w:rPr>
          <w:rFonts w:ascii="Times New Roman" w:hAnsi="Times New Roman"/>
          <w:color w:val="2B2A29"/>
          <w:spacing w:val="-2"/>
          <w:sz w:val="20"/>
          <w:szCs w:val="20"/>
        </w:rPr>
        <w:t>i</w:t>
      </w:r>
      <w:r w:rsidR="00C146E6" w:rsidRPr="0055419F">
        <w:rPr>
          <w:rFonts w:ascii="Times New Roman" w:hAnsi="Times New Roman"/>
          <w:color w:val="2B2A29"/>
          <w:spacing w:val="-2"/>
          <w:sz w:val="20"/>
          <w:szCs w:val="20"/>
        </w:rPr>
        <w:t>ability associated with</w:t>
      </w:r>
      <w:r w:rsidR="003A44CC" w:rsidRPr="0055419F">
        <w:rPr>
          <w:rFonts w:ascii="Times New Roman" w:hAnsi="Times New Roman"/>
          <w:color w:val="2B2A29"/>
          <w:spacing w:val="-2"/>
          <w:sz w:val="20"/>
          <w:szCs w:val="20"/>
        </w:rPr>
        <w:t xml:space="preserve"> [E</w:t>
      </w:r>
      <w:r w:rsidR="00C146E6" w:rsidRPr="0055419F">
        <w:rPr>
          <w:rFonts w:ascii="Times New Roman" w:hAnsi="Times New Roman"/>
          <w:color w:val="2B2A29"/>
          <w:spacing w:val="-2"/>
          <w:sz w:val="20"/>
          <w:szCs w:val="20"/>
        </w:rPr>
        <w:t>mployer name]</w:t>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sidR="00950F23" w:rsidRPr="0055419F">
        <w:rPr>
          <w:rFonts w:ascii="Times New Roman" w:hAnsi="Times New Roman"/>
          <w:color w:val="2B2A29"/>
          <w:spacing w:val="-2"/>
          <w:sz w:val="20"/>
          <w:szCs w:val="20"/>
        </w:rPr>
        <w:t>$</w:t>
      </w:r>
      <w:r w:rsidR="00C146E6" w:rsidRPr="0055419F">
        <w:rPr>
          <w:rFonts w:ascii="Times New Roman" w:hAnsi="Times New Roman"/>
          <w:color w:val="2B2A29"/>
          <w:spacing w:val="-2"/>
          <w:sz w:val="20"/>
          <w:szCs w:val="20"/>
          <w:u w:val="double"/>
        </w:rPr>
        <w:t>[See</w:t>
      </w:r>
      <w:r w:rsidR="00950F23" w:rsidRPr="0055419F">
        <w:rPr>
          <w:rFonts w:ascii="Times New Roman" w:hAnsi="Times New Roman"/>
          <w:color w:val="2B2A29"/>
          <w:spacing w:val="-2"/>
          <w:sz w:val="20"/>
          <w:szCs w:val="20"/>
          <w:u w:val="double"/>
        </w:rPr>
        <w:t xml:space="preserve"> </w:t>
      </w:r>
      <w:r w:rsidR="00E10B6E" w:rsidRPr="0055419F">
        <w:rPr>
          <w:rFonts w:ascii="Times New Roman" w:hAnsi="Times New Roman"/>
          <w:color w:val="2B2A29"/>
          <w:spacing w:val="-2"/>
          <w:sz w:val="20"/>
          <w:szCs w:val="20"/>
          <w:u w:val="double"/>
        </w:rPr>
        <w:t>Employer’s Valuation</w:t>
      </w:r>
      <w:r w:rsidR="00C146E6" w:rsidRPr="0055419F">
        <w:rPr>
          <w:rFonts w:ascii="Times New Roman" w:hAnsi="Times New Roman"/>
          <w:color w:val="2B2A29"/>
          <w:spacing w:val="-2"/>
          <w:sz w:val="20"/>
          <w:szCs w:val="20"/>
          <w:u w:val="double"/>
        </w:rPr>
        <w:t>]</w:t>
      </w:r>
    </w:p>
    <w:p w14:paraId="10264975"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color w:val="2B2A29"/>
          <w:spacing w:val="-2"/>
          <w:sz w:val="20"/>
          <w:szCs w:val="20"/>
        </w:rPr>
      </w:pPr>
    </w:p>
    <w:p w14:paraId="27DCBA03" w14:textId="7932B922" w:rsidR="00950F23" w:rsidRPr="0055419F" w:rsidRDefault="00950F23" w:rsidP="00664870">
      <w:pPr>
        <w:widowControl w:val="0"/>
        <w:autoSpaceDE w:val="0"/>
        <w:autoSpaceDN w:val="0"/>
        <w:adjustRightInd w:val="0"/>
        <w:spacing w:after="0" w:line="240" w:lineRule="auto"/>
        <w:jc w:val="both"/>
        <w:rPr>
          <w:rFonts w:ascii="Times New Roman" w:hAnsi="Times New Roman"/>
          <w:color w:val="2B2A29"/>
          <w:spacing w:val="-2"/>
          <w:sz w:val="20"/>
          <w:szCs w:val="20"/>
        </w:rPr>
      </w:pPr>
      <w:r w:rsidRPr="0055419F">
        <w:rPr>
          <w:rFonts w:ascii="Times New Roman" w:hAnsi="Times New Roman"/>
          <w:color w:val="2B2A29"/>
          <w:spacing w:val="-2"/>
          <w:sz w:val="20"/>
          <w:szCs w:val="20"/>
        </w:rPr>
        <w:t>The net pension liability was m</w:t>
      </w:r>
      <w:r w:rsidR="00BA5852" w:rsidRPr="0055419F">
        <w:rPr>
          <w:rFonts w:ascii="Times New Roman" w:hAnsi="Times New Roman"/>
          <w:color w:val="2B2A29"/>
          <w:spacing w:val="-2"/>
          <w:sz w:val="20"/>
          <w:szCs w:val="20"/>
        </w:rPr>
        <w:t>easured as of September 30,</w:t>
      </w:r>
      <w:r w:rsidR="00E21B08">
        <w:rPr>
          <w:rFonts w:ascii="Times New Roman" w:hAnsi="Times New Roman"/>
          <w:color w:val="2B2A29"/>
          <w:spacing w:val="-2"/>
          <w:sz w:val="20"/>
          <w:szCs w:val="20"/>
        </w:rPr>
        <w:t xml:space="preserve"> </w:t>
      </w:r>
      <w:r w:rsidR="003D02E1">
        <w:rPr>
          <w:rFonts w:ascii="Times New Roman" w:hAnsi="Times New Roman"/>
          <w:color w:val="2B2A29"/>
          <w:spacing w:val="-2"/>
          <w:sz w:val="20"/>
          <w:szCs w:val="20"/>
        </w:rPr>
        <w:t>20</w:t>
      </w:r>
      <w:r w:rsidR="00115A0B">
        <w:rPr>
          <w:rFonts w:ascii="Times New Roman" w:hAnsi="Times New Roman"/>
          <w:color w:val="2B2A29"/>
          <w:spacing w:val="-2"/>
          <w:sz w:val="20"/>
          <w:szCs w:val="20"/>
        </w:rPr>
        <w:t>2</w:t>
      </w:r>
      <w:r w:rsidR="0094499B">
        <w:rPr>
          <w:rFonts w:ascii="Times New Roman" w:hAnsi="Times New Roman"/>
          <w:color w:val="2B2A29"/>
          <w:spacing w:val="-2"/>
          <w:sz w:val="20"/>
          <w:szCs w:val="20"/>
        </w:rPr>
        <w:t>2</w:t>
      </w:r>
      <w:r w:rsidRPr="0055419F">
        <w:rPr>
          <w:rFonts w:ascii="Times New Roman" w:hAnsi="Times New Roman"/>
          <w:color w:val="2B2A29"/>
          <w:spacing w:val="-2"/>
          <w:sz w:val="20"/>
          <w:szCs w:val="20"/>
        </w:rPr>
        <w:t>. The total pension liability is based on the actuarial valuation as of Septe</w:t>
      </w:r>
      <w:r w:rsidR="00BA5852" w:rsidRPr="0055419F">
        <w:rPr>
          <w:rFonts w:ascii="Times New Roman" w:hAnsi="Times New Roman"/>
          <w:color w:val="2B2A29"/>
          <w:spacing w:val="-2"/>
          <w:sz w:val="20"/>
          <w:szCs w:val="20"/>
        </w:rPr>
        <w:t>mber 30,</w:t>
      </w:r>
      <w:r w:rsidR="00E21B08">
        <w:rPr>
          <w:rFonts w:ascii="Times New Roman" w:hAnsi="Times New Roman"/>
          <w:color w:val="2B2A29"/>
          <w:spacing w:val="-2"/>
          <w:sz w:val="20"/>
          <w:szCs w:val="20"/>
        </w:rPr>
        <w:t xml:space="preserve"> </w:t>
      </w:r>
      <w:r w:rsidR="003D02E1">
        <w:rPr>
          <w:rFonts w:ascii="Times New Roman" w:hAnsi="Times New Roman"/>
          <w:color w:val="2B2A29"/>
          <w:spacing w:val="-2"/>
          <w:sz w:val="20"/>
          <w:szCs w:val="20"/>
        </w:rPr>
        <w:t>20</w:t>
      </w:r>
      <w:r w:rsidR="00E62F17">
        <w:rPr>
          <w:rFonts w:ascii="Times New Roman" w:hAnsi="Times New Roman"/>
          <w:color w:val="2B2A29"/>
          <w:spacing w:val="-2"/>
          <w:sz w:val="20"/>
          <w:szCs w:val="20"/>
        </w:rPr>
        <w:t>2</w:t>
      </w:r>
      <w:r w:rsidR="0094499B">
        <w:rPr>
          <w:rFonts w:ascii="Times New Roman" w:hAnsi="Times New Roman"/>
          <w:color w:val="2B2A29"/>
          <w:spacing w:val="-2"/>
          <w:sz w:val="20"/>
          <w:szCs w:val="20"/>
        </w:rPr>
        <w:t>1</w:t>
      </w:r>
      <w:r w:rsidR="005C5C7B" w:rsidRPr="0055419F">
        <w:rPr>
          <w:rFonts w:ascii="Times New Roman" w:hAnsi="Times New Roman"/>
          <w:color w:val="2B2A29"/>
          <w:spacing w:val="-2"/>
          <w:sz w:val="20"/>
          <w:szCs w:val="20"/>
        </w:rPr>
        <w:t>. An expected total pension li</w:t>
      </w:r>
      <w:r w:rsidR="00BA5852" w:rsidRPr="0055419F">
        <w:rPr>
          <w:rFonts w:ascii="Times New Roman" w:hAnsi="Times New Roman"/>
          <w:color w:val="2B2A29"/>
          <w:spacing w:val="-2"/>
          <w:sz w:val="20"/>
          <w:szCs w:val="20"/>
        </w:rPr>
        <w:t xml:space="preserve">ability as of September 30, </w:t>
      </w:r>
      <w:r w:rsidR="003D02E1">
        <w:rPr>
          <w:rFonts w:ascii="Times New Roman" w:hAnsi="Times New Roman"/>
          <w:color w:val="2B2A29"/>
          <w:spacing w:val="-2"/>
          <w:sz w:val="20"/>
          <w:szCs w:val="20"/>
        </w:rPr>
        <w:t>20</w:t>
      </w:r>
      <w:r w:rsidR="00115A0B">
        <w:rPr>
          <w:rFonts w:ascii="Times New Roman" w:hAnsi="Times New Roman"/>
          <w:color w:val="2B2A29"/>
          <w:spacing w:val="-2"/>
          <w:sz w:val="20"/>
          <w:szCs w:val="20"/>
        </w:rPr>
        <w:t>2</w:t>
      </w:r>
      <w:r w:rsidR="0094499B">
        <w:rPr>
          <w:rFonts w:ascii="Times New Roman" w:hAnsi="Times New Roman"/>
          <w:color w:val="2B2A29"/>
          <w:spacing w:val="-2"/>
          <w:sz w:val="20"/>
          <w:szCs w:val="20"/>
        </w:rPr>
        <w:t>2</w:t>
      </w:r>
      <w:r w:rsidR="00664870">
        <w:rPr>
          <w:rFonts w:ascii="Times New Roman" w:hAnsi="Times New Roman"/>
          <w:color w:val="2B2A29"/>
          <w:spacing w:val="-2"/>
          <w:sz w:val="20"/>
          <w:szCs w:val="20"/>
        </w:rPr>
        <w:t xml:space="preserve">, </w:t>
      </w:r>
      <w:r w:rsidR="005C5C7B" w:rsidRPr="0055419F">
        <w:rPr>
          <w:rFonts w:ascii="Times New Roman" w:hAnsi="Times New Roman"/>
          <w:color w:val="2B2A29"/>
          <w:spacing w:val="-2"/>
          <w:sz w:val="20"/>
          <w:szCs w:val="20"/>
        </w:rPr>
        <w:t>was determined using standard roll-forward techniques. The State</w:t>
      </w:r>
      <w:r w:rsidR="00C146E6" w:rsidRPr="0055419F">
        <w:rPr>
          <w:rFonts w:ascii="Times New Roman" w:hAnsi="Times New Roman"/>
          <w:color w:val="2B2A29"/>
          <w:spacing w:val="-2"/>
          <w:sz w:val="20"/>
          <w:szCs w:val="20"/>
        </w:rPr>
        <w:t xml:space="preserve"> of Alabama’s </w:t>
      </w:r>
      <w:r w:rsidR="005C5C7B" w:rsidRPr="0055419F">
        <w:rPr>
          <w:rFonts w:ascii="Times New Roman" w:hAnsi="Times New Roman"/>
          <w:color w:val="2B2A29"/>
          <w:spacing w:val="-2"/>
          <w:sz w:val="20"/>
          <w:szCs w:val="20"/>
        </w:rPr>
        <w:t>proportion of the net pension li</w:t>
      </w:r>
      <w:r w:rsidR="00767766" w:rsidRPr="0055419F">
        <w:rPr>
          <w:rFonts w:ascii="Times New Roman" w:hAnsi="Times New Roman"/>
          <w:color w:val="2B2A29"/>
          <w:spacing w:val="-2"/>
          <w:sz w:val="20"/>
          <w:szCs w:val="20"/>
        </w:rPr>
        <w:t xml:space="preserve">ability associated with </w:t>
      </w:r>
      <w:r w:rsidR="003A44CC" w:rsidRPr="0055419F">
        <w:rPr>
          <w:rFonts w:ascii="Times New Roman" w:hAnsi="Times New Roman"/>
          <w:color w:val="2B2A29"/>
          <w:spacing w:val="-2"/>
          <w:sz w:val="20"/>
          <w:szCs w:val="20"/>
        </w:rPr>
        <w:t>[E</w:t>
      </w:r>
      <w:r w:rsidR="00C146E6" w:rsidRPr="0055419F">
        <w:rPr>
          <w:rFonts w:ascii="Times New Roman" w:hAnsi="Times New Roman"/>
          <w:color w:val="2B2A29"/>
          <w:spacing w:val="-2"/>
          <w:sz w:val="20"/>
          <w:szCs w:val="20"/>
        </w:rPr>
        <w:t>mployer name]</w:t>
      </w:r>
      <w:r w:rsidR="005C5C7B" w:rsidRPr="0055419F">
        <w:rPr>
          <w:rFonts w:ascii="Times New Roman" w:hAnsi="Times New Roman"/>
          <w:color w:val="2B2A29"/>
          <w:spacing w:val="-2"/>
          <w:sz w:val="20"/>
          <w:szCs w:val="20"/>
        </w:rPr>
        <w:t xml:space="preserve"> was based on actuarially determined contributions paid by the State </w:t>
      </w:r>
      <w:r w:rsidR="00E10B6E" w:rsidRPr="0055419F">
        <w:rPr>
          <w:rFonts w:ascii="Times New Roman" w:hAnsi="Times New Roman"/>
          <w:color w:val="2B2A29"/>
          <w:spacing w:val="-2"/>
          <w:sz w:val="20"/>
          <w:szCs w:val="20"/>
        </w:rPr>
        <w:t xml:space="preserve">of Alabama </w:t>
      </w:r>
      <w:r w:rsidR="005C5C7B" w:rsidRPr="0055419F">
        <w:rPr>
          <w:rFonts w:ascii="Times New Roman" w:hAnsi="Times New Roman"/>
          <w:color w:val="2B2A29"/>
          <w:spacing w:val="-2"/>
          <w:sz w:val="20"/>
          <w:szCs w:val="20"/>
        </w:rPr>
        <w:t>during t</w:t>
      </w:r>
      <w:r w:rsidR="003A44CC" w:rsidRPr="0055419F">
        <w:rPr>
          <w:rFonts w:ascii="Times New Roman" w:hAnsi="Times New Roman"/>
          <w:color w:val="2B2A29"/>
          <w:spacing w:val="-2"/>
          <w:sz w:val="20"/>
          <w:szCs w:val="20"/>
        </w:rPr>
        <w:t>he fiscal year ended September 3</w:t>
      </w:r>
      <w:r w:rsidR="00BA5852" w:rsidRPr="0055419F">
        <w:rPr>
          <w:rFonts w:ascii="Times New Roman" w:hAnsi="Times New Roman"/>
          <w:color w:val="2B2A29"/>
          <w:spacing w:val="-2"/>
          <w:sz w:val="20"/>
          <w:szCs w:val="20"/>
        </w:rPr>
        <w:t>0,</w:t>
      </w:r>
      <w:r w:rsidR="00E21B08">
        <w:rPr>
          <w:rFonts w:ascii="Times New Roman" w:hAnsi="Times New Roman"/>
          <w:color w:val="2B2A29"/>
          <w:spacing w:val="-2"/>
          <w:sz w:val="20"/>
          <w:szCs w:val="20"/>
        </w:rPr>
        <w:t xml:space="preserve"> </w:t>
      </w:r>
      <w:r w:rsidR="003D02E1">
        <w:rPr>
          <w:rFonts w:ascii="Times New Roman" w:hAnsi="Times New Roman"/>
          <w:color w:val="2B2A29"/>
          <w:spacing w:val="-2"/>
          <w:sz w:val="20"/>
          <w:szCs w:val="20"/>
        </w:rPr>
        <w:t>20</w:t>
      </w:r>
      <w:r w:rsidR="00115A0B">
        <w:rPr>
          <w:rFonts w:ascii="Times New Roman" w:hAnsi="Times New Roman"/>
          <w:color w:val="2B2A29"/>
          <w:spacing w:val="-2"/>
          <w:sz w:val="20"/>
          <w:szCs w:val="20"/>
        </w:rPr>
        <w:t>2</w:t>
      </w:r>
      <w:r w:rsidR="0094499B">
        <w:rPr>
          <w:rFonts w:ascii="Times New Roman" w:hAnsi="Times New Roman"/>
          <w:color w:val="2B2A29"/>
          <w:spacing w:val="-2"/>
          <w:sz w:val="20"/>
          <w:szCs w:val="20"/>
        </w:rPr>
        <w:t>2</w:t>
      </w:r>
      <w:r w:rsidR="005C5C7B" w:rsidRPr="0055419F">
        <w:rPr>
          <w:rFonts w:ascii="Times New Roman" w:hAnsi="Times New Roman"/>
          <w:color w:val="2B2A29"/>
          <w:spacing w:val="-2"/>
          <w:sz w:val="20"/>
          <w:szCs w:val="20"/>
        </w:rPr>
        <w:t xml:space="preserve">. </w:t>
      </w:r>
    </w:p>
    <w:p w14:paraId="59D8DAE2"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pacing w:val="-2"/>
          <w:sz w:val="20"/>
          <w:szCs w:val="20"/>
        </w:rPr>
      </w:pPr>
    </w:p>
    <w:p w14:paraId="6F51E91D" w14:textId="42BB719C"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pacing w:val="-2"/>
          <w:sz w:val="20"/>
          <w:szCs w:val="20"/>
        </w:rPr>
      </w:pPr>
      <w:r w:rsidRPr="0055419F">
        <w:rPr>
          <w:rFonts w:ascii="Times New Roman" w:hAnsi="Times New Roman"/>
          <w:color w:val="2B2A29"/>
          <w:spacing w:val="-2"/>
          <w:sz w:val="20"/>
          <w:szCs w:val="20"/>
        </w:rPr>
        <w:t>For the year en</w:t>
      </w:r>
      <w:r w:rsidR="00BA5852" w:rsidRPr="0055419F">
        <w:rPr>
          <w:rFonts w:ascii="Times New Roman" w:hAnsi="Times New Roman"/>
          <w:color w:val="2B2A29"/>
          <w:spacing w:val="-2"/>
          <w:sz w:val="20"/>
          <w:szCs w:val="20"/>
        </w:rPr>
        <w:t xml:space="preserve">ded September 30, </w:t>
      </w:r>
      <w:r w:rsidR="003D02E1">
        <w:rPr>
          <w:rFonts w:ascii="Times New Roman" w:hAnsi="Times New Roman"/>
          <w:color w:val="2B2A29"/>
          <w:spacing w:val="-2"/>
          <w:sz w:val="20"/>
          <w:szCs w:val="20"/>
        </w:rPr>
        <w:t>20</w:t>
      </w:r>
      <w:r w:rsidR="00A7777A">
        <w:rPr>
          <w:rFonts w:ascii="Times New Roman" w:hAnsi="Times New Roman"/>
          <w:color w:val="2B2A29"/>
          <w:spacing w:val="-2"/>
          <w:sz w:val="20"/>
          <w:szCs w:val="20"/>
        </w:rPr>
        <w:t>2</w:t>
      </w:r>
      <w:r w:rsidR="0094499B">
        <w:rPr>
          <w:rFonts w:ascii="Times New Roman" w:hAnsi="Times New Roman"/>
          <w:color w:val="2B2A29"/>
          <w:spacing w:val="-2"/>
          <w:sz w:val="20"/>
          <w:szCs w:val="20"/>
        </w:rPr>
        <w:t>3</w:t>
      </w:r>
      <w:r w:rsidR="00767766" w:rsidRPr="0055419F">
        <w:rPr>
          <w:rFonts w:ascii="Times New Roman" w:hAnsi="Times New Roman"/>
          <w:color w:val="2B2A29"/>
          <w:spacing w:val="-2"/>
          <w:sz w:val="20"/>
          <w:szCs w:val="20"/>
        </w:rPr>
        <w:t>,</w:t>
      </w:r>
      <w:r w:rsidR="00576279" w:rsidRPr="0055419F">
        <w:rPr>
          <w:rFonts w:ascii="Times New Roman" w:hAnsi="Times New Roman"/>
          <w:color w:val="2B2A29"/>
          <w:spacing w:val="-2"/>
          <w:sz w:val="20"/>
          <w:szCs w:val="20"/>
        </w:rPr>
        <w:t xml:space="preserve"> </w:t>
      </w:r>
      <w:r w:rsidR="003A44CC" w:rsidRPr="0055419F">
        <w:rPr>
          <w:rFonts w:ascii="Times New Roman" w:hAnsi="Times New Roman"/>
          <w:color w:val="2B2A29"/>
          <w:spacing w:val="-2"/>
          <w:sz w:val="20"/>
          <w:szCs w:val="20"/>
        </w:rPr>
        <w:t>[E</w:t>
      </w:r>
      <w:r w:rsidR="00C146E6" w:rsidRPr="0055419F">
        <w:rPr>
          <w:rFonts w:ascii="Times New Roman" w:hAnsi="Times New Roman"/>
          <w:color w:val="2B2A29"/>
          <w:spacing w:val="-2"/>
          <w:sz w:val="20"/>
          <w:szCs w:val="20"/>
        </w:rPr>
        <w:t>mployer name]</w:t>
      </w:r>
      <w:r w:rsidRPr="0055419F">
        <w:rPr>
          <w:rFonts w:ascii="Times New Roman" w:hAnsi="Times New Roman"/>
          <w:color w:val="2B2A29"/>
          <w:spacing w:val="-2"/>
          <w:sz w:val="20"/>
          <w:szCs w:val="20"/>
        </w:rPr>
        <w:t xml:space="preserve"> recognized pension expense of $</w:t>
      </w:r>
      <w:r w:rsidR="00E10B6E" w:rsidRPr="0055419F">
        <w:rPr>
          <w:rFonts w:ascii="Times New Roman" w:hAnsi="Times New Roman"/>
          <w:color w:val="2B2A29"/>
          <w:spacing w:val="-2"/>
          <w:sz w:val="20"/>
          <w:szCs w:val="20"/>
        </w:rPr>
        <w:t>[See Employer’s Valuation</w:t>
      </w:r>
      <w:r w:rsidR="00F16F07" w:rsidRPr="0055419F">
        <w:rPr>
          <w:rFonts w:ascii="Times New Roman" w:hAnsi="Times New Roman"/>
          <w:color w:val="2B2A29"/>
          <w:spacing w:val="-2"/>
          <w:sz w:val="20"/>
          <w:szCs w:val="20"/>
        </w:rPr>
        <w:t xml:space="preserve"> (a)</w:t>
      </w:r>
      <w:r w:rsidR="00C146E6" w:rsidRPr="0055419F">
        <w:rPr>
          <w:rFonts w:ascii="Times New Roman" w:hAnsi="Times New Roman"/>
          <w:color w:val="2B2A29"/>
          <w:spacing w:val="-2"/>
          <w:sz w:val="20"/>
          <w:szCs w:val="20"/>
        </w:rPr>
        <w:t xml:space="preserve">] </w:t>
      </w:r>
      <w:r w:rsidRPr="0055419F">
        <w:rPr>
          <w:rFonts w:ascii="Times New Roman" w:hAnsi="Times New Roman"/>
          <w:color w:val="2B2A29"/>
          <w:spacing w:val="-2"/>
          <w:sz w:val="20"/>
          <w:szCs w:val="20"/>
        </w:rPr>
        <w:t>and revenue of $</w:t>
      </w:r>
      <w:r w:rsidR="00E10B6E" w:rsidRPr="0055419F">
        <w:rPr>
          <w:rFonts w:ascii="Times New Roman" w:hAnsi="Times New Roman"/>
          <w:color w:val="2B2A29"/>
          <w:spacing w:val="-2"/>
          <w:sz w:val="20"/>
          <w:szCs w:val="20"/>
        </w:rPr>
        <w:t>[See Employer’s Valuation</w:t>
      </w:r>
      <w:r w:rsidR="00F16F07" w:rsidRPr="0055419F">
        <w:rPr>
          <w:rFonts w:ascii="Times New Roman" w:hAnsi="Times New Roman"/>
          <w:color w:val="2B2A29"/>
          <w:spacing w:val="-2"/>
          <w:sz w:val="20"/>
          <w:szCs w:val="20"/>
        </w:rPr>
        <w:t xml:space="preserve"> (b)</w:t>
      </w:r>
      <w:r w:rsidR="00C146E6" w:rsidRPr="0055419F">
        <w:rPr>
          <w:rFonts w:ascii="Times New Roman" w:hAnsi="Times New Roman"/>
          <w:color w:val="2B2A29"/>
          <w:spacing w:val="-2"/>
          <w:sz w:val="20"/>
          <w:szCs w:val="20"/>
        </w:rPr>
        <w:t xml:space="preserve">] </w:t>
      </w:r>
      <w:r w:rsidRPr="0055419F">
        <w:rPr>
          <w:rFonts w:ascii="Times New Roman" w:hAnsi="Times New Roman"/>
          <w:color w:val="2B2A29"/>
          <w:spacing w:val="-2"/>
          <w:sz w:val="20"/>
          <w:szCs w:val="20"/>
        </w:rPr>
        <w:t>for aid provided by the State of Alabama.</w:t>
      </w:r>
    </w:p>
    <w:p w14:paraId="3468F5A5"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pacing w:val="-2"/>
          <w:sz w:val="20"/>
          <w:szCs w:val="20"/>
        </w:rPr>
      </w:pPr>
    </w:p>
    <w:p w14:paraId="39A49B60" w14:textId="7AEBEA57" w:rsidR="005414E6" w:rsidRPr="0055419F" w:rsidRDefault="005A2583" w:rsidP="00664870">
      <w:pPr>
        <w:widowControl w:val="0"/>
        <w:autoSpaceDE w:val="0"/>
        <w:autoSpaceDN w:val="0"/>
        <w:adjustRightInd w:val="0"/>
        <w:spacing w:after="0" w:line="240" w:lineRule="auto"/>
        <w:jc w:val="both"/>
        <w:rPr>
          <w:rFonts w:ascii="Times New Roman" w:hAnsi="Times New Roman"/>
          <w:b/>
          <w:i/>
          <w:iCs/>
          <w:color w:val="2B2A29"/>
          <w:spacing w:val="2"/>
          <w:sz w:val="20"/>
          <w:szCs w:val="20"/>
        </w:rPr>
      </w:pPr>
      <w:bookmarkStart w:id="4" w:name="Pg235"/>
      <w:bookmarkEnd w:id="4"/>
      <w:r>
        <w:rPr>
          <w:rFonts w:ascii="Times New Roman" w:hAnsi="Times New Roman"/>
          <w:b/>
          <w:i/>
          <w:iCs/>
          <w:color w:val="2B2A29"/>
          <w:spacing w:val="2"/>
          <w:sz w:val="20"/>
          <w:szCs w:val="20"/>
        </w:rPr>
        <w:t>Actuarial A</w:t>
      </w:r>
      <w:r w:rsidR="005414E6" w:rsidRPr="0055419F">
        <w:rPr>
          <w:rFonts w:ascii="Times New Roman" w:hAnsi="Times New Roman"/>
          <w:b/>
          <w:i/>
          <w:iCs/>
          <w:color w:val="2B2A29"/>
          <w:spacing w:val="2"/>
          <w:sz w:val="20"/>
          <w:szCs w:val="20"/>
        </w:rPr>
        <w:t>ssumptions</w:t>
      </w:r>
    </w:p>
    <w:p w14:paraId="7AE982F2" w14:textId="77777777" w:rsidR="005414E6" w:rsidRPr="0055419F" w:rsidRDefault="005414E6" w:rsidP="00664870">
      <w:pPr>
        <w:widowControl w:val="0"/>
        <w:autoSpaceDE w:val="0"/>
        <w:autoSpaceDN w:val="0"/>
        <w:adjustRightInd w:val="0"/>
        <w:spacing w:after="0" w:line="240" w:lineRule="auto"/>
        <w:jc w:val="both"/>
        <w:rPr>
          <w:rFonts w:ascii="Times New Roman" w:hAnsi="Times New Roman"/>
          <w:b/>
          <w:color w:val="2B2A29"/>
          <w:spacing w:val="2"/>
          <w:sz w:val="20"/>
          <w:szCs w:val="20"/>
        </w:rPr>
      </w:pPr>
    </w:p>
    <w:p w14:paraId="6B516C48" w14:textId="71164062" w:rsidR="005414E6" w:rsidRPr="0055419F" w:rsidRDefault="005414E6" w:rsidP="00664870">
      <w:pPr>
        <w:pStyle w:val="Default"/>
        <w:jc w:val="both"/>
        <w:rPr>
          <w:sz w:val="20"/>
          <w:szCs w:val="20"/>
        </w:rPr>
      </w:pPr>
      <w:r w:rsidRPr="0055419F">
        <w:rPr>
          <w:sz w:val="20"/>
          <w:szCs w:val="20"/>
        </w:rPr>
        <w:t>The total pension liability was determined by an actuarial va</w:t>
      </w:r>
      <w:r w:rsidR="00BA5852" w:rsidRPr="0055419F">
        <w:rPr>
          <w:sz w:val="20"/>
          <w:szCs w:val="20"/>
        </w:rPr>
        <w:t xml:space="preserve">luation as of September 30, </w:t>
      </w:r>
      <w:r w:rsidR="003D02E1">
        <w:rPr>
          <w:sz w:val="20"/>
          <w:szCs w:val="20"/>
        </w:rPr>
        <w:t>20</w:t>
      </w:r>
      <w:r w:rsidR="00E62F17">
        <w:rPr>
          <w:sz w:val="20"/>
          <w:szCs w:val="20"/>
        </w:rPr>
        <w:t>2</w:t>
      </w:r>
      <w:r w:rsidR="0094499B">
        <w:rPr>
          <w:sz w:val="20"/>
          <w:szCs w:val="20"/>
        </w:rPr>
        <w:t>1</w:t>
      </w:r>
      <w:r w:rsidRPr="0055419F">
        <w:rPr>
          <w:sz w:val="20"/>
          <w:szCs w:val="20"/>
        </w:rPr>
        <w:t xml:space="preserve">, using the following actuarial assumptions, applied to all periods included in the measurement: </w:t>
      </w:r>
    </w:p>
    <w:p w14:paraId="6BDB2665" w14:textId="77777777" w:rsidR="00664870" w:rsidRDefault="0094499B" w:rsidP="00664870">
      <w:pPr>
        <w:pStyle w:val="Default"/>
        <w:jc w:val="both"/>
        <w:rPr>
          <w:sz w:val="20"/>
          <w:szCs w:val="20"/>
        </w:rPr>
      </w:pPr>
      <w:r>
        <w:rPr>
          <w:noProof/>
          <w:sz w:val="20"/>
          <w:szCs w:val="20"/>
        </w:rPr>
        <w:object w:dxaOrig="1440" w:dyaOrig="1440" w14:anchorId="357EEC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7.35pt;margin-top:3.45pt;width:193.75pt;height:88.7pt;z-index:251659264;mso-position-horizontal-relative:text;mso-position-vertical-relative:text">
            <v:imagedata r:id="rId7" o:title=""/>
            <o:lock v:ext="edit" aspectratio="f"/>
          </v:shape>
          <o:OLEObject Type="Embed" ProgID="Excel.Sheet.12" ShapeID="_x0000_s1026" DrawAspect="Content" ObjectID="_1741152424" r:id="rId8"/>
        </w:object>
      </w:r>
    </w:p>
    <w:p w14:paraId="515CDBB0" w14:textId="77777777" w:rsidR="00664870" w:rsidRDefault="00664870" w:rsidP="00664870">
      <w:pPr>
        <w:pStyle w:val="Default"/>
        <w:jc w:val="both"/>
        <w:rPr>
          <w:sz w:val="20"/>
          <w:szCs w:val="20"/>
        </w:rPr>
      </w:pPr>
    </w:p>
    <w:p w14:paraId="7264D776" w14:textId="77777777" w:rsidR="00664870" w:rsidRDefault="00664870" w:rsidP="00664870">
      <w:pPr>
        <w:pStyle w:val="Default"/>
        <w:jc w:val="both"/>
        <w:rPr>
          <w:sz w:val="20"/>
          <w:szCs w:val="20"/>
        </w:rPr>
      </w:pPr>
    </w:p>
    <w:p w14:paraId="21AAB29E" w14:textId="77777777" w:rsidR="00664870" w:rsidRDefault="00664870" w:rsidP="00664870">
      <w:pPr>
        <w:pStyle w:val="Default"/>
        <w:jc w:val="both"/>
        <w:rPr>
          <w:sz w:val="20"/>
          <w:szCs w:val="20"/>
        </w:rPr>
      </w:pPr>
    </w:p>
    <w:p w14:paraId="2C932ED7" w14:textId="77777777" w:rsidR="00664870" w:rsidRDefault="00664870" w:rsidP="00664870">
      <w:pPr>
        <w:pStyle w:val="Default"/>
        <w:jc w:val="both"/>
        <w:rPr>
          <w:sz w:val="20"/>
          <w:szCs w:val="20"/>
        </w:rPr>
      </w:pPr>
    </w:p>
    <w:p w14:paraId="2578C6F9" w14:textId="77777777" w:rsidR="00664870" w:rsidRDefault="00664870" w:rsidP="00664870">
      <w:pPr>
        <w:pStyle w:val="Default"/>
        <w:jc w:val="both"/>
        <w:rPr>
          <w:sz w:val="20"/>
          <w:szCs w:val="20"/>
        </w:rPr>
      </w:pPr>
    </w:p>
    <w:p w14:paraId="7C1F0852" w14:textId="77777777" w:rsidR="005414E6" w:rsidRDefault="005414E6" w:rsidP="00664870">
      <w:pPr>
        <w:pStyle w:val="Default"/>
        <w:jc w:val="both"/>
        <w:rPr>
          <w:sz w:val="20"/>
          <w:szCs w:val="20"/>
        </w:rPr>
      </w:pPr>
    </w:p>
    <w:p w14:paraId="64473914" w14:textId="77777777" w:rsidR="005A2583" w:rsidRPr="0055419F" w:rsidRDefault="005A2583" w:rsidP="00664870">
      <w:pPr>
        <w:pStyle w:val="Default"/>
        <w:jc w:val="both"/>
        <w:rPr>
          <w:sz w:val="20"/>
          <w:szCs w:val="20"/>
        </w:rPr>
      </w:pPr>
    </w:p>
    <w:p w14:paraId="4CF2E517" w14:textId="08EC5800" w:rsidR="00C07134" w:rsidRDefault="005414E6" w:rsidP="00664870">
      <w:pPr>
        <w:pStyle w:val="Default"/>
        <w:jc w:val="both"/>
        <w:rPr>
          <w:sz w:val="20"/>
          <w:szCs w:val="20"/>
        </w:rPr>
      </w:pPr>
      <w:r w:rsidRPr="0055419F">
        <w:rPr>
          <w:sz w:val="20"/>
          <w:szCs w:val="20"/>
        </w:rPr>
        <w:t>The actuarial assumptions used in the actuarial va</w:t>
      </w:r>
      <w:r w:rsidR="00BA5852" w:rsidRPr="0055419F">
        <w:rPr>
          <w:sz w:val="20"/>
          <w:szCs w:val="20"/>
        </w:rPr>
        <w:t xml:space="preserve">luation as of September 30, </w:t>
      </w:r>
      <w:r w:rsidR="003D02E1">
        <w:rPr>
          <w:sz w:val="20"/>
          <w:szCs w:val="20"/>
        </w:rPr>
        <w:t>20</w:t>
      </w:r>
      <w:r w:rsidR="00C07134">
        <w:rPr>
          <w:sz w:val="20"/>
          <w:szCs w:val="20"/>
        </w:rPr>
        <w:t>2</w:t>
      </w:r>
      <w:r w:rsidR="0094499B">
        <w:rPr>
          <w:sz w:val="20"/>
          <w:szCs w:val="20"/>
        </w:rPr>
        <w:t>1</w:t>
      </w:r>
      <w:r w:rsidRPr="0055419F">
        <w:rPr>
          <w:sz w:val="20"/>
          <w:szCs w:val="20"/>
        </w:rPr>
        <w:t>, were based on the results of an investigation of the economic and demographic experience for the JRF based upon participant data as of September 30,</w:t>
      </w:r>
      <w:r w:rsidR="00E21B08">
        <w:rPr>
          <w:sz w:val="20"/>
          <w:szCs w:val="20"/>
        </w:rPr>
        <w:t xml:space="preserve"> </w:t>
      </w:r>
      <w:r w:rsidR="00664870">
        <w:rPr>
          <w:sz w:val="20"/>
          <w:szCs w:val="20"/>
        </w:rPr>
        <w:t>20</w:t>
      </w:r>
      <w:r w:rsidR="00C07134">
        <w:rPr>
          <w:sz w:val="20"/>
          <w:szCs w:val="20"/>
        </w:rPr>
        <w:t>20</w:t>
      </w:r>
      <w:r w:rsidRPr="0055419F">
        <w:rPr>
          <w:sz w:val="20"/>
          <w:szCs w:val="20"/>
        </w:rPr>
        <w:t>. The Board of Control accepted and approved these changes</w:t>
      </w:r>
      <w:r w:rsidR="00664870">
        <w:rPr>
          <w:sz w:val="20"/>
          <w:szCs w:val="20"/>
        </w:rPr>
        <w:t xml:space="preserve"> in September 20</w:t>
      </w:r>
      <w:r w:rsidR="00C07134">
        <w:rPr>
          <w:sz w:val="20"/>
          <w:szCs w:val="20"/>
        </w:rPr>
        <w:t>21</w:t>
      </w:r>
      <w:r w:rsidRPr="0055419F">
        <w:rPr>
          <w:sz w:val="20"/>
          <w:szCs w:val="20"/>
        </w:rPr>
        <w:t>, which became effective at the beginning of fiscal year</w:t>
      </w:r>
      <w:r w:rsidR="005A2583">
        <w:rPr>
          <w:sz w:val="20"/>
          <w:szCs w:val="20"/>
        </w:rPr>
        <w:t xml:space="preserve"> </w:t>
      </w:r>
      <w:r w:rsidR="007663EA">
        <w:rPr>
          <w:sz w:val="20"/>
          <w:szCs w:val="20"/>
        </w:rPr>
        <w:t>20</w:t>
      </w:r>
      <w:r w:rsidR="00C07134">
        <w:rPr>
          <w:sz w:val="20"/>
          <w:szCs w:val="20"/>
        </w:rPr>
        <w:t>21</w:t>
      </w:r>
      <w:r w:rsidRPr="0055419F">
        <w:rPr>
          <w:sz w:val="20"/>
          <w:szCs w:val="20"/>
        </w:rPr>
        <w:t>.</w:t>
      </w:r>
    </w:p>
    <w:p w14:paraId="72F225A3" w14:textId="77777777" w:rsidR="00C07134" w:rsidRDefault="00C07134" w:rsidP="00664870">
      <w:pPr>
        <w:pStyle w:val="Default"/>
        <w:jc w:val="both"/>
        <w:rPr>
          <w:sz w:val="20"/>
          <w:szCs w:val="20"/>
        </w:rPr>
      </w:pPr>
    </w:p>
    <w:p w14:paraId="7D686CDC" w14:textId="77777777" w:rsidR="00C07134" w:rsidRPr="00C07134" w:rsidRDefault="00C07134" w:rsidP="00C07134">
      <w:pPr>
        <w:pStyle w:val="Default"/>
        <w:jc w:val="both"/>
        <w:rPr>
          <w:sz w:val="20"/>
          <w:szCs w:val="20"/>
        </w:rPr>
      </w:pPr>
      <w:r w:rsidRPr="00C07134">
        <w:rPr>
          <w:sz w:val="20"/>
          <w:szCs w:val="20"/>
        </w:rPr>
        <w:t>Mortality rates were based on the Pub-2010 Teacher tables with the following adjustments, projected</w:t>
      </w:r>
    </w:p>
    <w:p w14:paraId="2A253447" w14:textId="77777777" w:rsidR="00C07134" w:rsidRPr="00C07134" w:rsidRDefault="00C07134" w:rsidP="00C07134">
      <w:pPr>
        <w:pStyle w:val="Default"/>
        <w:jc w:val="both"/>
        <w:rPr>
          <w:sz w:val="20"/>
          <w:szCs w:val="20"/>
        </w:rPr>
      </w:pPr>
      <w:r w:rsidRPr="00C07134">
        <w:rPr>
          <w:sz w:val="20"/>
          <w:szCs w:val="20"/>
        </w:rPr>
        <w:t>generationally using scale MP-2020 adjusted by 66-2/3% beginning with year 2019:</w:t>
      </w:r>
    </w:p>
    <w:p w14:paraId="4D8F2388" w14:textId="594213CF" w:rsidR="005414E6" w:rsidRDefault="005414E6" w:rsidP="00664870">
      <w:pPr>
        <w:pStyle w:val="Default"/>
        <w:jc w:val="both"/>
        <w:rPr>
          <w:sz w:val="20"/>
          <w:szCs w:val="20"/>
        </w:rPr>
      </w:pPr>
    </w:p>
    <w:tbl>
      <w:tblPr>
        <w:tblW w:w="0" w:type="auto"/>
        <w:tblInd w:w="95" w:type="dxa"/>
        <w:tblLayout w:type="fixed"/>
        <w:tblCellMar>
          <w:left w:w="0" w:type="dxa"/>
          <w:right w:w="0" w:type="dxa"/>
        </w:tblCellMar>
        <w:tblLook w:val="0000" w:firstRow="0" w:lastRow="0" w:firstColumn="0" w:lastColumn="0" w:noHBand="0" w:noVBand="0"/>
      </w:tblPr>
      <w:tblGrid>
        <w:gridCol w:w="1887"/>
        <w:gridCol w:w="2160"/>
        <w:gridCol w:w="2610"/>
        <w:gridCol w:w="2719"/>
      </w:tblGrid>
      <w:tr w:rsidR="00C07134" w:rsidRPr="00C07134" w14:paraId="631B1ECB" w14:textId="77777777">
        <w:trPr>
          <w:trHeight w:hRule="exact" w:val="276"/>
        </w:trPr>
        <w:tc>
          <w:tcPr>
            <w:tcW w:w="1887" w:type="dxa"/>
            <w:tcBorders>
              <w:top w:val="single" w:sz="4" w:space="0" w:color="000000"/>
              <w:left w:val="single" w:sz="4" w:space="0" w:color="000000"/>
              <w:bottom w:val="single" w:sz="4" w:space="0" w:color="000000"/>
              <w:right w:val="single" w:sz="4" w:space="0" w:color="000000"/>
            </w:tcBorders>
          </w:tcPr>
          <w:p w14:paraId="13CFA2F6" w14:textId="77777777" w:rsidR="00C07134" w:rsidRPr="00C07134" w:rsidRDefault="00C07134" w:rsidP="00C07134">
            <w:pPr>
              <w:kinsoku w:val="0"/>
              <w:overflowPunct w:val="0"/>
              <w:autoSpaceDE w:val="0"/>
              <w:autoSpaceDN w:val="0"/>
              <w:adjustRightInd w:val="0"/>
              <w:spacing w:before="3" w:after="0" w:line="240" w:lineRule="auto"/>
              <w:ind w:right="2"/>
              <w:jc w:val="center"/>
              <w:rPr>
                <w:rFonts w:ascii="Times New Roman" w:hAnsi="Times New Roman"/>
                <w:sz w:val="24"/>
                <w:szCs w:val="24"/>
              </w:rPr>
            </w:pPr>
            <w:r w:rsidRPr="00C07134">
              <w:rPr>
                <w:rFonts w:ascii="Times New Roman" w:hAnsi="Times New Roman"/>
                <w:b/>
                <w:bCs/>
                <w:sz w:val="20"/>
                <w:szCs w:val="20"/>
                <w:u w:val="single"/>
              </w:rPr>
              <w:t>Group</w:t>
            </w:r>
          </w:p>
        </w:tc>
        <w:tc>
          <w:tcPr>
            <w:tcW w:w="2160" w:type="dxa"/>
            <w:tcBorders>
              <w:top w:val="single" w:sz="4" w:space="0" w:color="000000"/>
              <w:left w:val="single" w:sz="4" w:space="0" w:color="000000"/>
              <w:bottom w:val="single" w:sz="4" w:space="0" w:color="000000"/>
              <w:right w:val="single" w:sz="4" w:space="0" w:color="000000"/>
            </w:tcBorders>
          </w:tcPr>
          <w:p w14:paraId="1FAB6FA4" w14:textId="77777777" w:rsidR="00C07134" w:rsidRPr="00C07134" w:rsidRDefault="00C07134" w:rsidP="00C07134">
            <w:pPr>
              <w:kinsoku w:val="0"/>
              <w:overflowPunct w:val="0"/>
              <w:autoSpaceDE w:val="0"/>
              <w:autoSpaceDN w:val="0"/>
              <w:adjustRightInd w:val="0"/>
              <w:spacing w:before="3" w:after="0" w:line="240" w:lineRule="auto"/>
              <w:ind w:left="273"/>
              <w:rPr>
                <w:rFonts w:ascii="Times New Roman" w:hAnsi="Times New Roman"/>
                <w:sz w:val="24"/>
                <w:szCs w:val="24"/>
              </w:rPr>
            </w:pPr>
            <w:r w:rsidRPr="00C07134">
              <w:rPr>
                <w:rFonts w:ascii="Times New Roman" w:hAnsi="Times New Roman"/>
                <w:b/>
                <w:bCs/>
                <w:sz w:val="20"/>
                <w:szCs w:val="20"/>
                <w:u w:val="single"/>
              </w:rPr>
              <w:t>Membership</w:t>
            </w:r>
            <w:r w:rsidRPr="00C07134">
              <w:rPr>
                <w:rFonts w:ascii="Times New Roman" w:hAnsi="Times New Roman"/>
                <w:b/>
                <w:bCs/>
                <w:spacing w:val="-8"/>
                <w:sz w:val="20"/>
                <w:szCs w:val="20"/>
                <w:u w:val="single"/>
              </w:rPr>
              <w:t xml:space="preserve"> </w:t>
            </w:r>
            <w:r w:rsidRPr="00C07134">
              <w:rPr>
                <w:rFonts w:ascii="Times New Roman" w:hAnsi="Times New Roman"/>
                <w:b/>
                <w:bCs/>
                <w:sz w:val="20"/>
                <w:szCs w:val="20"/>
                <w:u w:val="single"/>
              </w:rPr>
              <w:t>Table</w:t>
            </w:r>
          </w:p>
        </w:tc>
        <w:tc>
          <w:tcPr>
            <w:tcW w:w="2610" w:type="dxa"/>
            <w:tcBorders>
              <w:top w:val="single" w:sz="4" w:space="0" w:color="000000"/>
              <w:left w:val="single" w:sz="4" w:space="0" w:color="000000"/>
              <w:bottom w:val="single" w:sz="4" w:space="0" w:color="000000"/>
              <w:right w:val="single" w:sz="4" w:space="0" w:color="000000"/>
            </w:tcBorders>
          </w:tcPr>
          <w:p w14:paraId="0EE6A9DE" w14:textId="77777777" w:rsidR="00C07134" w:rsidRPr="00C07134" w:rsidRDefault="00C07134" w:rsidP="00C07134">
            <w:pPr>
              <w:kinsoku w:val="0"/>
              <w:overflowPunct w:val="0"/>
              <w:autoSpaceDE w:val="0"/>
              <w:autoSpaceDN w:val="0"/>
              <w:adjustRightInd w:val="0"/>
              <w:spacing w:before="3" w:after="0" w:line="240" w:lineRule="auto"/>
              <w:ind w:left="122"/>
              <w:rPr>
                <w:rFonts w:ascii="Times New Roman" w:hAnsi="Times New Roman"/>
                <w:sz w:val="24"/>
                <w:szCs w:val="24"/>
              </w:rPr>
            </w:pPr>
            <w:r w:rsidRPr="00C07134">
              <w:rPr>
                <w:rFonts w:ascii="Times New Roman" w:hAnsi="Times New Roman"/>
                <w:b/>
                <w:bCs/>
                <w:sz w:val="20"/>
                <w:szCs w:val="20"/>
                <w:u w:val="single"/>
              </w:rPr>
              <w:t>Set</w:t>
            </w:r>
            <w:r w:rsidRPr="00C07134">
              <w:rPr>
                <w:rFonts w:ascii="Times New Roman" w:hAnsi="Times New Roman"/>
                <w:b/>
                <w:bCs/>
                <w:spacing w:val="-12"/>
                <w:sz w:val="20"/>
                <w:szCs w:val="20"/>
                <w:u w:val="single"/>
              </w:rPr>
              <w:t xml:space="preserve"> </w:t>
            </w:r>
            <w:r w:rsidRPr="00C07134">
              <w:rPr>
                <w:rFonts w:ascii="Times New Roman" w:hAnsi="Times New Roman"/>
                <w:b/>
                <w:bCs/>
                <w:sz w:val="20"/>
                <w:szCs w:val="20"/>
                <w:u w:val="single"/>
              </w:rPr>
              <w:t>Forward(+)</w:t>
            </w:r>
            <w:r w:rsidRPr="00C07134">
              <w:rPr>
                <w:rFonts w:ascii="Times New Roman" w:hAnsi="Times New Roman"/>
                <w:b/>
                <w:bCs/>
                <w:spacing w:val="-12"/>
                <w:sz w:val="20"/>
                <w:szCs w:val="20"/>
                <w:u w:val="single"/>
              </w:rPr>
              <w:t xml:space="preserve"> </w:t>
            </w:r>
            <w:r w:rsidRPr="00C07134">
              <w:rPr>
                <w:rFonts w:ascii="Times New Roman" w:hAnsi="Times New Roman"/>
                <w:b/>
                <w:bCs/>
                <w:sz w:val="20"/>
                <w:szCs w:val="20"/>
                <w:u w:val="single"/>
              </w:rPr>
              <w:t>/</w:t>
            </w:r>
            <w:r w:rsidRPr="00C07134">
              <w:rPr>
                <w:rFonts w:ascii="Times New Roman" w:hAnsi="Times New Roman"/>
                <w:b/>
                <w:bCs/>
                <w:spacing w:val="-11"/>
                <w:sz w:val="20"/>
                <w:szCs w:val="20"/>
                <w:u w:val="single"/>
              </w:rPr>
              <w:t xml:space="preserve"> </w:t>
            </w:r>
            <w:r w:rsidRPr="00C07134">
              <w:rPr>
                <w:rFonts w:ascii="Times New Roman" w:hAnsi="Times New Roman"/>
                <w:b/>
                <w:bCs/>
                <w:sz w:val="20"/>
                <w:szCs w:val="20"/>
                <w:u w:val="single"/>
              </w:rPr>
              <w:t>Setback</w:t>
            </w:r>
            <w:r w:rsidRPr="00C07134">
              <w:rPr>
                <w:rFonts w:ascii="Times New Roman" w:hAnsi="Times New Roman"/>
                <w:b/>
                <w:bCs/>
                <w:spacing w:val="-11"/>
                <w:sz w:val="20"/>
                <w:szCs w:val="20"/>
                <w:u w:val="single"/>
              </w:rPr>
              <w:t xml:space="preserve"> </w:t>
            </w:r>
            <w:r w:rsidRPr="00C07134">
              <w:rPr>
                <w:rFonts w:ascii="Times New Roman" w:hAnsi="Times New Roman"/>
                <w:b/>
                <w:bCs/>
                <w:sz w:val="20"/>
                <w:szCs w:val="20"/>
                <w:u w:val="single"/>
              </w:rPr>
              <w:t>(-)</w:t>
            </w:r>
          </w:p>
        </w:tc>
        <w:tc>
          <w:tcPr>
            <w:tcW w:w="2719" w:type="dxa"/>
            <w:tcBorders>
              <w:top w:val="single" w:sz="4" w:space="0" w:color="000000"/>
              <w:left w:val="single" w:sz="4" w:space="0" w:color="000000"/>
              <w:bottom w:val="single" w:sz="4" w:space="0" w:color="000000"/>
              <w:right w:val="single" w:sz="4" w:space="0" w:color="000000"/>
            </w:tcBorders>
          </w:tcPr>
          <w:p w14:paraId="420F6178" w14:textId="77777777" w:rsidR="00C07134" w:rsidRPr="00C07134" w:rsidRDefault="00C07134" w:rsidP="00C07134">
            <w:pPr>
              <w:kinsoku w:val="0"/>
              <w:overflowPunct w:val="0"/>
              <w:autoSpaceDE w:val="0"/>
              <w:autoSpaceDN w:val="0"/>
              <w:adjustRightInd w:val="0"/>
              <w:spacing w:before="3" w:after="0" w:line="240" w:lineRule="auto"/>
              <w:ind w:left="494"/>
              <w:rPr>
                <w:rFonts w:ascii="Times New Roman" w:hAnsi="Times New Roman"/>
                <w:sz w:val="24"/>
                <w:szCs w:val="24"/>
              </w:rPr>
            </w:pPr>
            <w:r w:rsidRPr="00C07134">
              <w:rPr>
                <w:rFonts w:ascii="Times New Roman" w:hAnsi="Times New Roman"/>
                <w:b/>
                <w:bCs/>
                <w:sz w:val="20"/>
                <w:szCs w:val="20"/>
                <w:u w:val="single"/>
              </w:rPr>
              <w:t>Adjustment to</w:t>
            </w:r>
            <w:r w:rsidRPr="00C07134">
              <w:rPr>
                <w:rFonts w:ascii="Times New Roman" w:hAnsi="Times New Roman"/>
                <w:b/>
                <w:bCs/>
                <w:spacing w:val="-13"/>
                <w:sz w:val="20"/>
                <w:szCs w:val="20"/>
                <w:u w:val="single"/>
              </w:rPr>
              <w:t xml:space="preserve"> </w:t>
            </w:r>
            <w:r w:rsidRPr="00C07134">
              <w:rPr>
                <w:rFonts w:ascii="Times New Roman" w:hAnsi="Times New Roman"/>
                <w:b/>
                <w:bCs/>
                <w:sz w:val="20"/>
                <w:szCs w:val="20"/>
                <w:u w:val="single"/>
              </w:rPr>
              <w:t>Rates</w:t>
            </w:r>
          </w:p>
        </w:tc>
      </w:tr>
      <w:tr w:rsidR="00C07134" w:rsidRPr="00C07134" w14:paraId="271620E0" w14:textId="77777777">
        <w:trPr>
          <w:trHeight w:hRule="exact" w:val="962"/>
        </w:trPr>
        <w:tc>
          <w:tcPr>
            <w:tcW w:w="1887" w:type="dxa"/>
            <w:tcBorders>
              <w:top w:val="single" w:sz="4" w:space="0" w:color="000000"/>
              <w:left w:val="single" w:sz="4" w:space="0" w:color="000000"/>
              <w:bottom w:val="single" w:sz="4" w:space="0" w:color="000000"/>
              <w:right w:val="single" w:sz="4" w:space="0" w:color="000000"/>
            </w:tcBorders>
          </w:tcPr>
          <w:p w14:paraId="227948A9" w14:textId="77777777" w:rsidR="00C07134" w:rsidRPr="00C07134" w:rsidRDefault="00C07134" w:rsidP="00C07134">
            <w:pPr>
              <w:kinsoku w:val="0"/>
              <w:overflowPunct w:val="0"/>
              <w:autoSpaceDE w:val="0"/>
              <w:autoSpaceDN w:val="0"/>
              <w:adjustRightInd w:val="0"/>
              <w:spacing w:after="0" w:line="240" w:lineRule="auto"/>
              <w:ind w:left="103"/>
              <w:rPr>
                <w:rFonts w:ascii="Times New Roman" w:hAnsi="Times New Roman"/>
                <w:sz w:val="24"/>
                <w:szCs w:val="24"/>
              </w:rPr>
            </w:pPr>
            <w:r w:rsidRPr="00C07134">
              <w:rPr>
                <w:rFonts w:ascii="Times New Roman" w:hAnsi="Times New Roman"/>
                <w:sz w:val="20"/>
                <w:szCs w:val="20"/>
              </w:rPr>
              <w:t>Service</w:t>
            </w:r>
            <w:r w:rsidRPr="00C07134">
              <w:rPr>
                <w:rFonts w:ascii="Times New Roman" w:hAnsi="Times New Roman"/>
                <w:spacing w:val="-5"/>
                <w:sz w:val="20"/>
                <w:szCs w:val="20"/>
              </w:rPr>
              <w:t xml:space="preserve"> </w:t>
            </w:r>
            <w:r w:rsidRPr="00C07134">
              <w:rPr>
                <w:rFonts w:ascii="Times New Roman" w:hAnsi="Times New Roman"/>
                <w:sz w:val="20"/>
                <w:szCs w:val="20"/>
              </w:rPr>
              <w:t>Retirees</w:t>
            </w:r>
          </w:p>
        </w:tc>
        <w:tc>
          <w:tcPr>
            <w:tcW w:w="2160" w:type="dxa"/>
            <w:tcBorders>
              <w:top w:val="single" w:sz="4" w:space="0" w:color="000000"/>
              <w:left w:val="single" w:sz="4" w:space="0" w:color="000000"/>
              <w:bottom w:val="single" w:sz="4" w:space="0" w:color="000000"/>
              <w:right w:val="single" w:sz="4" w:space="0" w:color="000000"/>
            </w:tcBorders>
          </w:tcPr>
          <w:p w14:paraId="21E538FD" w14:textId="77777777" w:rsidR="00C07134" w:rsidRPr="00C07134" w:rsidRDefault="00C07134" w:rsidP="00C07134">
            <w:pPr>
              <w:kinsoku w:val="0"/>
              <w:overflowPunct w:val="0"/>
              <w:autoSpaceDE w:val="0"/>
              <w:autoSpaceDN w:val="0"/>
              <w:adjustRightInd w:val="0"/>
              <w:spacing w:after="0" w:line="276" w:lineRule="auto"/>
              <w:ind w:left="100" w:right="228"/>
              <w:rPr>
                <w:rFonts w:ascii="Times New Roman" w:hAnsi="Times New Roman"/>
                <w:sz w:val="24"/>
                <w:szCs w:val="24"/>
              </w:rPr>
            </w:pPr>
            <w:r w:rsidRPr="00C07134">
              <w:rPr>
                <w:rFonts w:ascii="Times New Roman" w:hAnsi="Times New Roman"/>
                <w:sz w:val="20"/>
                <w:szCs w:val="20"/>
              </w:rPr>
              <w:t>Teacher</w:t>
            </w:r>
            <w:r w:rsidRPr="00C07134">
              <w:rPr>
                <w:rFonts w:ascii="Times New Roman" w:hAnsi="Times New Roman"/>
                <w:spacing w:val="-35"/>
                <w:sz w:val="20"/>
                <w:szCs w:val="20"/>
              </w:rPr>
              <w:t xml:space="preserve"> </w:t>
            </w:r>
            <w:r w:rsidRPr="00C07134">
              <w:rPr>
                <w:rFonts w:ascii="Times New Roman" w:hAnsi="Times New Roman"/>
                <w:sz w:val="20"/>
                <w:szCs w:val="20"/>
              </w:rPr>
              <w:t>Retiree-Below</w:t>
            </w:r>
            <w:r w:rsidRPr="00C07134">
              <w:rPr>
                <w:rFonts w:ascii="Times New Roman" w:hAnsi="Times New Roman"/>
                <w:w w:val="99"/>
                <w:sz w:val="20"/>
                <w:szCs w:val="20"/>
              </w:rPr>
              <w:t xml:space="preserve"> </w:t>
            </w:r>
            <w:r w:rsidRPr="00C07134">
              <w:rPr>
                <w:rFonts w:ascii="Times New Roman" w:hAnsi="Times New Roman"/>
                <w:sz w:val="20"/>
                <w:szCs w:val="20"/>
              </w:rPr>
              <w:t>Median</w:t>
            </w:r>
          </w:p>
        </w:tc>
        <w:tc>
          <w:tcPr>
            <w:tcW w:w="2610" w:type="dxa"/>
            <w:tcBorders>
              <w:top w:val="single" w:sz="4" w:space="0" w:color="000000"/>
              <w:left w:val="single" w:sz="4" w:space="0" w:color="000000"/>
              <w:bottom w:val="single" w:sz="4" w:space="0" w:color="000000"/>
              <w:right w:val="single" w:sz="4" w:space="0" w:color="000000"/>
            </w:tcBorders>
          </w:tcPr>
          <w:p w14:paraId="71C80139" w14:textId="77777777" w:rsidR="00C07134" w:rsidRPr="00C07134" w:rsidRDefault="00C07134" w:rsidP="00C07134">
            <w:pPr>
              <w:kinsoku w:val="0"/>
              <w:overflowPunct w:val="0"/>
              <w:autoSpaceDE w:val="0"/>
              <w:autoSpaceDN w:val="0"/>
              <w:adjustRightInd w:val="0"/>
              <w:spacing w:after="0" w:line="240" w:lineRule="auto"/>
              <w:ind w:left="100"/>
              <w:rPr>
                <w:rFonts w:ascii="Times New Roman" w:hAnsi="Times New Roman"/>
                <w:sz w:val="24"/>
                <w:szCs w:val="24"/>
              </w:rPr>
            </w:pPr>
            <w:r w:rsidRPr="00C07134">
              <w:rPr>
                <w:rFonts w:ascii="Times New Roman" w:hAnsi="Times New Roman"/>
                <w:sz w:val="20"/>
                <w:szCs w:val="20"/>
              </w:rPr>
              <w:t>Male: +2, Female:</w:t>
            </w:r>
            <w:r w:rsidRPr="00C07134">
              <w:rPr>
                <w:rFonts w:ascii="Times New Roman" w:hAnsi="Times New Roman"/>
                <w:spacing w:val="-17"/>
                <w:sz w:val="20"/>
                <w:szCs w:val="20"/>
              </w:rPr>
              <w:t xml:space="preserve"> </w:t>
            </w:r>
            <w:r w:rsidRPr="00C07134">
              <w:rPr>
                <w:rFonts w:ascii="Times New Roman" w:hAnsi="Times New Roman"/>
                <w:sz w:val="20"/>
                <w:szCs w:val="20"/>
              </w:rPr>
              <w:t>+2</w:t>
            </w:r>
          </w:p>
        </w:tc>
        <w:tc>
          <w:tcPr>
            <w:tcW w:w="2719" w:type="dxa"/>
            <w:tcBorders>
              <w:top w:val="single" w:sz="4" w:space="0" w:color="000000"/>
              <w:left w:val="single" w:sz="4" w:space="0" w:color="000000"/>
              <w:bottom w:val="single" w:sz="4" w:space="0" w:color="000000"/>
              <w:right w:val="single" w:sz="4" w:space="0" w:color="000000"/>
            </w:tcBorders>
          </w:tcPr>
          <w:p w14:paraId="20E3D435" w14:textId="77777777" w:rsidR="00C07134" w:rsidRPr="00C07134" w:rsidRDefault="00C07134" w:rsidP="00C07134">
            <w:pPr>
              <w:kinsoku w:val="0"/>
              <w:overflowPunct w:val="0"/>
              <w:autoSpaceDE w:val="0"/>
              <w:autoSpaceDN w:val="0"/>
              <w:adjustRightInd w:val="0"/>
              <w:spacing w:after="0" w:line="240" w:lineRule="auto"/>
              <w:jc w:val="center"/>
              <w:rPr>
                <w:rFonts w:ascii="Times New Roman" w:hAnsi="Times New Roman"/>
                <w:sz w:val="18"/>
                <w:szCs w:val="18"/>
              </w:rPr>
            </w:pPr>
            <w:r w:rsidRPr="00C07134">
              <w:rPr>
                <w:rFonts w:ascii="Times New Roman" w:hAnsi="Times New Roman"/>
                <w:spacing w:val="-3"/>
                <w:sz w:val="18"/>
                <w:szCs w:val="18"/>
              </w:rPr>
              <w:t xml:space="preserve">Male: </w:t>
            </w:r>
            <w:r w:rsidRPr="00C07134">
              <w:rPr>
                <w:rFonts w:ascii="Times New Roman" w:hAnsi="Times New Roman"/>
                <w:sz w:val="18"/>
                <w:szCs w:val="18"/>
              </w:rPr>
              <w:t xml:space="preserve">108% </w:t>
            </w:r>
            <w:r w:rsidRPr="00C07134">
              <w:rPr>
                <w:rFonts w:ascii="Times New Roman" w:hAnsi="Times New Roman"/>
                <w:spacing w:val="-3"/>
                <w:sz w:val="18"/>
                <w:szCs w:val="18"/>
              </w:rPr>
              <w:t xml:space="preserve">ages </w:t>
            </w:r>
            <w:r w:rsidRPr="00C07134">
              <w:rPr>
                <w:rFonts w:ascii="Times New Roman" w:hAnsi="Times New Roman"/>
                <w:sz w:val="18"/>
                <w:szCs w:val="18"/>
              </w:rPr>
              <w:t xml:space="preserve">&lt; 63, 96% </w:t>
            </w:r>
            <w:r w:rsidRPr="00C07134">
              <w:rPr>
                <w:rFonts w:ascii="Times New Roman" w:hAnsi="Times New Roman"/>
                <w:spacing w:val="-3"/>
                <w:sz w:val="18"/>
                <w:szCs w:val="18"/>
              </w:rPr>
              <w:t>ages</w:t>
            </w:r>
            <w:r w:rsidRPr="00C07134">
              <w:rPr>
                <w:rFonts w:ascii="Times New Roman" w:hAnsi="Times New Roman"/>
                <w:spacing w:val="-30"/>
                <w:sz w:val="18"/>
                <w:szCs w:val="18"/>
              </w:rPr>
              <w:t xml:space="preserve"> </w:t>
            </w:r>
            <w:r w:rsidRPr="00C07134">
              <w:rPr>
                <w:rFonts w:ascii="Times New Roman" w:hAnsi="Times New Roman"/>
                <w:sz w:val="18"/>
                <w:szCs w:val="18"/>
              </w:rPr>
              <w:t>&gt;</w:t>
            </w:r>
          </w:p>
          <w:p w14:paraId="5F50A954" w14:textId="77777777" w:rsidR="00C07134" w:rsidRPr="00C07134" w:rsidRDefault="00C07134" w:rsidP="00C07134">
            <w:pPr>
              <w:kinsoku w:val="0"/>
              <w:overflowPunct w:val="0"/>
              <w:autoSpaceDE w:val="0"/>
              <w:autoSpaceDN w:val="0"/>
              <w:adjustRightInd w:val="0"/>
              <w:spacing w:before="30" w:after="0" w:line="240" w:lineRule="auto"/>
              <w:jc w:val="center"/>
              <w:rPr>
                <w:rFonts w:ascii="Times New Roman" w:hAnsi="Times New Roman"/>
                <w:spacing w:val="-3"/>
                <w:sz w:val="18"/>
                <w:szCs w:val="18"/>
              </w:rPr>
            </w:pPr>
            <w:r w:rsidRPr="00C07134">
              <w:rPr>
                <w:rFonts w:ascii="Times New Roman" w:hAnsi="Times New Roman"/>
                <w:sz w:val="18"/>
                <w:szCs w:val="18"/>
              </w:rPr>
              <w:t xml:space="preserve">67; </w:t>
            </w:r>
            <w:r w:rsidRPr="00C07134">
              <w:rPr>
                <w:rFonts w:ascii="Times New Roman" w:hAnsi="Times New Roman"/>
                <w:spacing w:val="-3"/>
                <w:sz w:val="18"/>
                <w:szCs w:val="18"/>
              </w:rPr>
              <w:t xml:space="preserve">Phasing down </w:t>
            </w:r>
            <w:r w:rsidRPr="00C07134">
              <w:rPr>
                <w:rFonts w:ascii="Times New Roman" w:hAnsi="Times New Roman"/>
                <w:sz w:val="18"/>
                <w:szCs w:val="18"/>
              </w:rPr>
              <w:t>63 -67</w:t>
            </w:r>
            <w:r w:rsidRPr="00C07134">
              <w:rPr>
                <w:rFonts w:ascii="Times New Roman" w:hAnsi="Times New Roman"/>
                <w:spacing w:val="29"/>
                <w:sz w:val="18"/>
                <w:szCs w:val="18"/>
              </w:rPr>
              <w:t xml:space="preserve"> </w:t>
            </w:r>
            <w:r w:rsidRPr="00C07134">
              <w:rPr>
                <w:rFonts w:ascii="Times New Roman" w:hAnsi="Times New Roman"/>
                <w:spacing w:val="-3"/>
                <w:sz w:val="18"/>
                <w:szCs w:val="18"/>
              </w:rPr>
              <w:t>Female:</w:t>
            </w:r>
          </w:p>
          <w:p w14:paraId="347CDE92" w14:textId="77777777" w:rsidR="00C07134" w:rsidRPr="00C07134" w:rsidRDefault="00C07134" w:rsidP="00C07134">
            <w:pPr>
              <w:kinsoku w:val="0"/>
              <w:overflowPunct w:val="0"/>
              <w:autoSpaceDE w:val="0"/>
              <w:autoSpaceDN w:val="0"/>
              <w:adjustRightInd w:val="0"/>
              <w:spacing w:before="30" w:after="0" w:line="240" w:lineRule="auto"/>
              <w:ind w:left="2"/>
              <w:jc w:val="center"/>
              <w:rPr>
                <w:rFonts w:ascii="Times New Roman" w:hAnsi="Times New Roman"/>
                <w:sz w:val="18"/>
                <w:szCs w:val="18"/>
              </w:rPr>
            </w:pPr>
            <w:r w:rsidRPr="00C07134">
              <w:rPr>
                <w:rFonts w:ascii="Times New Roman" w:hAnsi="Times New Roman"/>
                <w:sz w:val="18"/>
                <w:szCs w:val="18"/>
              </w:rPr>
              <w:t xml:space="preserve">112% </w:t>
            </w:r>
            <w:r w:rsidRPr="00C07134">
              <w:rPr>
                <w:rFonts w:ascii="Times New Roman" w:hAnsi="Times New Roman"/>
                <w:spacing w:val="-3"/>
                <w:sz w:val="18"/>
                <w:szCs w:val="18"/>
              </w:rPr>
              <w:t xml:space="preserve">ages </w:t>
            </w:r>
            <w:r w:rsidRPr="00C07134">
              <w:rPr>
                <w:rFonts w:ascii="Times New Roman" w:hAnsi="Times New Roman"/>
                <w:sz w:val="18"/>
                <w:szCs w:val="18"/>
              </w:rPr>
              <w:t xml:space="preserve">&lt; 69 </w:t>
            </w:r>
            <w:r w:rsidRPr="00C07134">
              <w:rPr>
                <w:rFonts w:ascii="Times New Roman" w:hAnsi="Times New Roman"/>
                <w:spacing w:val="-2"/>
                <w:sz w:val="18"/>
                <w:szCs w:val="18"/>
              </w:rPr>
              <w:t xml:space="preserve">98% </w:t>
            </w:r>
            <w:r w:rsidRPr="00C07134">
              <w:rPr>
                <w:rFonts w:ascii="Times New Roman" w:hAnsi="Times New Roman"/>
                <w:sz w:val="18"/>
                <w:szCs w:val="18"/>
              </w:rPr>
              <w:t xml:space="preserve">&gt; </w:t>
            </w:r>
            <w:r w:rsidRPr="00C07134">
              <w:rPr>
                <w:rFonts w:ascii="Times New Roman" w:hAnsi="Times New Roman"/>
                <w:spacing w:val="-2"/>
                <w:sz w:val="18"/>
                <w:szCs w:val="18"/>
              </w:rPr>
              <w:t>age</w:t>
            </w:r>
            <w:r w:rsidRPr="00C07134">
              <w:rPr>
                <w:rFonts w:ascii="Times New Roman" w:hAnsi="Times New Roman"/>
                <w:spacing w:val="-29"/>
                <w:sz w:val="18"/>
                <w:szCs w:val="18"/>
              </w:rPr>
              <w:t xml:space="preserve"> </w:t>
            </w:r>
            <w:r w:rsidRPr="00C07134">
              <w:rPr>
                <w:rFonts w:ascii="Times New Roman" w:hAnsi="Times New Roman"/>
                <w:sz w:val="18"/>
                <w:szCs w:val="18"/>
              </w:rPr>
              <w:t>74</w:t>
            </w:r>
          </w:p>
          <w:p w14:paraId="357365D3" w14:textId="77777777" w:rsidR="00C07134" w:rsidRPr="00C07134" w:rsidRDefault="00C07134" w:rsidP="00C07134">
            <w:pPr>
              <w:kinsoku w:val="0"/>
              <w:overflowPunct w:val="0"/>
              <w:autoSpaceDE w:val="0"/>
              <w:autoSpaceDN w:val="0"/>
              <w:adjustRightInd w:val="0"/>
              <w:spacing w:before="30" w:after="0" w:line="240" w:lineRule="auto"/>
              <w:jc w:val="center"/>
              <w:rPr>
                <w:rFonts w:ascii="Times New Roman" w:hAnsi="Times New Roman"/>
                <w:sz w:val="24"/>
                <w:szCs w:val="24"/>
              </w:rPr>
            </w:pPr>
            <w:r w:rsidRPr="00C07134">
              <w:rPr>
                <w:rFonts w:ascii="Times New Roman" w:hAnsi="Times New Roman"/>
                <w:spacing w:val="-3"/>
                <w:sz w:val="18"/>
                <w:szCs w:val="18"/>
              </w:rPr>
              <w:t xml:space="preserve">Phasing </w:t>
            </w:r>
            <w:r w:rsidRPr="00C07134">
              <w:rPr>
                <w:rFonts w:ascii="Times New Roman" w:hAnsi="Times New Roman"/>
                <w:sz w:val="18"/>
                <w:szCs w:val="18"/>
              </w:rPr>
              <w:t>down</w:t>
            </w:r>
            <w:r w:rsidRPr="00C07134">
              <w:rPr>
                <w:rFonts w:ascii="Times New Roman" w:hAnsi="Times New Roman"/>
                <w:spacing w:val="-5"/>
                <w:sz w:val="18"/>
                <w:szCs w:val="18"/>
              </w:rPr>
              <w:t xml:space="preserve"> </w:t>
            </w:r>
            <w:r w:rsidRPr="00C07134">
              <w:rPr>
                <w:rFonts w:ascii="Times New Roman" w:hAnsi="Times New Roman"/>
                <w:spacing w:val="-3"/>
                <w:sz w:val="18"/>
                <w:szCs w:val="18"/>
              </w:rPr>
              <w:t>69-74</w:t>
            </w:r>
          </w:p>
        </w:tc>
      </w:tr>
      <w:tr w:rsidR="00C07134" w:rsidRPr="00C07134" w14:paraId="7F0CD869" w14:textId="77777777">
        <w:trPr>
          <w:trHeight w:hRule="exact" w:val="538"/>
        </w:trPr>
        <w:tc>
          <w:tcPr>
            <w:tcW w:w="1887" w:type="dxa"/>
            <w:tcBorders>
              <w:top w:val="single" w:sz="4" w:space="0" w:color="000000"/>
              <w:left w:val="single" w:sz="4" w:space="0" w:color="000000"/>
              <w:bottom w:val="single" w:sz="4" w:space="0" w:color="000000"/>
              <w:right w:val="single" w:sz="4" w:space="0" w:color="000000"/>
            </w:tcBorders>
          </w:tcPr>
          <w:p w14:paraId="16F80752" w14:textId="77777777" w:rsidR="00C07134" w:rsidRPr="00C07134" w:rsidRDefault="00C07134" w:rsidP="00C07134">
            <w:pPr>
              <w:kinsoku w:val="0"/>
              <w:overflowPunct w:val="0"/>
              <w:autoSpaceDE w:val="0"/>
              <w:autoSpaceDN w:val="0"/>
              <w:adjustRightInd w:val="0"/>
              <w:spacing w:after="0" w:line="240" w:lineRule="auto"/>
              <w:ind w:left="103"/>
              <w:rPr>
                <w:rFonts w:ascii="Times New Roman" w:hAnsi="Times New Roman"/>
                <w:sz w:val="24"/>
                <w:szCs w:val="24"/>
              </w:rPr>
            </w:pPr>
            <w:r w:rsidRPr="00C07134">
              <w:rPr>
                <w:rFonts w:ascii="Times New Roman" w:hAnsi="Times New Roman"/>
                <w:sz w:val="20"/>
                <w:szCs w:val="20"/>
              </w:rPr>
              <w:t>Beneficiaries</w:t>
            </w:r>
          </w:p>
        </w:tc>
        <w:tc>
          <w:tcPr>
            <w:tcW w:w="2160" w:type="dxa"/>
            <w:tcBorders>
              <w:top w:val="single" w:sz="4" w:space="0" w:color="000000"/>
              <w:left w:val="single" w:sz="4" w:space="0" w:color="000000"/>
              <w:bottom w:val="single" w:sz="4" w:space="0" w:color="000000"/>
              <w:right w:val="single" w:sz="4" w:space="0" w:color="000000"/>
            </w:tcBorders>
          </w:tcPr>
          <w:p w14:paraId="443D9561" w14:textId="77777777" w:rsidR="00C07134" w:rsidRPr="00C07134" w:rsidRDefault="00C07134" w:rsidP="00C07134">
            <w:pPr>
              <w:kinsoku w:val="0"/>
              <w:overflowPunct w:val="0"/>
              <w:autoSpaceDE w:val="0"/>
              <w:autoSpaceDN w:val="0"/>
              <w:adjustRightInd w:val="0"/>
              <w:spacing w:after="0" w:line="276" w:lineRule="auto"/>
              <w:ind w:left="100" w:right="446"/>
              <w:rPr>
                <w:rFonts w:ascii="Times New Roman" w:hAnsi="Times New Roman"/>
                <w:sz w:val="24"/>
                <w:szCs w:val="24"/>
              </w:rPr>
            </w:pPr>
            <w:r w:rsidRPr="00C07134">
              <w:rPr>
                <w:rFonts w:ascii="Times New Roman" w:hAnsi="Times New Roman"/>
                <w:spacing w:val="-3"/>
                <w:sz w:val="20"/>
                <w:szCs w:val="20"/>
              </w:rPr>
              <w:t>Contingent</w:t>
            </w:r>
            <w:r w:rsidRPr="00C07134">
              <w:rPr>
                <w:rFonts w:ascii="Times New Roman" w:hAnsi="Times New Roman"/>
                <w:spacing w:val="-13"/>
                <w:sz w:val="20"/>
                <w:szCs w:val="20"/>
              </w:rPr>
              <w:t xml:space="preserve"> </w:t>
            </w:r>
            <w:r w:rsidRPr="00C07134">
              <w:rPr>
                <w:rFonts w:ascii="Times New Roman" w:hAnsi="Times New Roman"/>
                <w:sz w:val="20"/>
                <w:szCs w:val="20"/>
              </w:rPr>
              <w:t>Survivor</w:t>
            </w:r>
            <w:r w:rsidRPr="00C07134">
              <w:rPr>
                <w:rFonts w:ascii="Times New Roman" w:hAnsi="Times New Roman"/>
                <w:w w:val="99"/>
                <w:sz w:val="20"/>
                <w:szCs w:val="20"/>
              </w:rPr>
              <w:t xml:space="preserve"> </w:t>
            </w:r>
            <w:r w:rsidRPr="00C07134">
              <w:rPr>
                <w:rFonts w:ascii="Times New Roman" w:hAnsi="Times New Roman"/>
                <w:spacing w:val="-3"/>
                <w:sz w:val="20"/>
                <w:szCs w:val="20"/>
              </w:rPr>
              <w:t>Below</w:t>
            </w:r>
            <w:r w:rsidRPr="00C07134">
              <w:rPr>
                <w:rFonts w:ascii="Times New Roman" w:hAnsi="Times New Roman"/>
                <w:spacing w:val="-4"/>
                <w:sz w:val="20"/>
                <w:szCs w:val="20"/>
              </w:rPr>
              <w:t xml:space="preserve"> </w:t>
            </w:r>
            <w:r w:rsidRPr="00C07134">
              <w:rPr>
                <w:rFonts w:ascii="Times New Roman" w:hAnsi="Times New Roman"/>
                <w:sz w:val="20"/>
                <w:szCs w:val="20"/>
              </w:rPr>
              <w:t>Median</w:t>
            </w:r>
          </w:p>
        </w:tc>
        <w:tc>
          <w:tcPr>
            <w:tcW w:w="2610" w:type="dxa"/>
            <w:tcBorders>
              <w:top w:val="single" w:sz="4" w:space="0" w:color="000000"/>
              <w:left w:val="single" w:sz="4" w:space="0" w:color="000000"/>
              <w:bottom w:val="single" w:sz="4" w:space="0" w:color="000000"/>
              <w:right w:val="single" w:sz="4" w:space="0" w:color="000000"/>
            </w:tcBorders>
          </w:tcPr>
          <w:p w14:paraId="099873BF" w14:textId="77777777" w:rsidR="00C07134" w:rsidRPr="00C07134" w:rsidRDefault="00C07134" w:rsidP="00C07134">
            <w:pPr>
              <w:kinsoku w:val="0"/>
              <w:overflowPunct w:val="0"/>
              <w:autoSpaceDE w:val="0"/>
              <w:autoSpaceDN w:val="0"/>
              <w:adjustRightInd w:val="0"/>
              <w:spacing w:after="0" w:line="240" w:lineRule="auto"/>
              <w:ind w:left="100"/>
              <w:rPr>
                <w:rFonts w:ascii="Times New Roman" w:hAnsi="Times New Roman"/>
                <w:sz w:val="24"/>
                <w:szCs w:val="24"/>
              </w:rPr>
            </w:pPr>
            <w:r w:rsidRPr="00C07134">
              <w:rPr>
                <w:rFonts w:ascii="Times New Roman" w:hAnsi="Times New Roman"/>
                <w:sz w:val="20"/>
                <w:szCs w:val="20"/>
              </w:rPr>
              <w:t>Male: +2, Female:</w:t>
            </w:r>
            <w:r w:rsidRPr="00C07134">
              <w:rPr>
                <w:rFonts w:ascii="Times New Roman" w:hAnsi="Times New Roman"/>
                <w:spacing w:val="-20"/>
                <w:sz w:val="20"/>
                <w:szCs w:val="20"/>
              </w:rPr>
              <w:t xml:space="preserve"> </w:t>
            </w:r>
            <w:r w:rsidRPr="00C07134">
              <w:rPr>
                <w:rFonts w:ascii="Times New Roman" w:hAnsi="Times New Roman"/>
                <w:sz w:val="20"/>
                <w:szCs w:val="20"/>
              </w:rPr>
              <w:t>None</w:t>
            </w:r>
          </w:p>
        </w:tc>
        <w:tc>
          <w:tcPr>
            <w:tcW w:w="2719" w:type="dxa"/>
            <w:tcBorders>
              <w:top w:val="single" w:sz="4" w:space="0" w:color="000000"/>
              <w:left w:val="single" w:sz="4" w:space="0" w:color="000000"/>
              <w:bottom w:val="single" w:sz="4" w:space="0" w:color="000000"/>
              <w:right w:val="single" w:sz="4" w:space="0" w:color="000000"/>
            </w:tcBorders>
          </w:tcPr>
          <w:p w14:paraId="389D2122" w14:textId="77777777" w:rsidR="00C07134" w:rsidRPr="00C07134" w:rsidRDefault="00C07134" w:rsidP="00C07134">
            <w:pPr>
              <w:kinsoku w:val="0"/>
              <w:overflowPunct w:val="0"/>
              <w:autoSpaceDE w:val="0"/>
              <w:autoSpaceDN w:val="0"/>
              <w:adjustRightInd w:val="0"/>
              <w:spacing w:after="0" w:line="240" w:lineRule="auto"/>
              <w:ind w:left="103"/>
              <w:rPr>
                <w:rFonts w:ascii="Times New Roman" w:hAnsi="Times New Roman"/>
                <w:sz w:val="24"/>
                <w:szCs w:val="24"/>
              </w:rPr>
            </w:pPr>
            <w:r w:rsidRPr="00C07134">
              <w:rPr>
                <w:rFonts w:ascii="Times New Roman" w:hAnsi="Times New Roman"/>
                <w:sz w:val="20"/>
                <w:szCs w:val="20"/>
              </w:rPr>
              <w:t>None</w:t>
            </w:r>
          </w:p>
        </w:tc>
      </w:tr>
      <w:tr w:rsidR="00C07134" w:rsidRPr="00C07134" w14:paraId="0D748E4B" w14:textId="77777777">
        <w:trPr>
          <w:trHeight w:hRule="exact" w:val="276"/>
        </w:trPr>
        <w:tc>
          <w:tcPr>
            <w:tcW w:w="1887" w:type="dxa"/>
            <w:tcBorders>
              <w:top w:val="single" w:sz="4" w:space="0" w:color="000000"/>
              <w:left w:val="single" w:sz="4" w:space="0" w:color="000000"/>
              <w:bottom w:val="single" w:sz="4" w:space="0" w:color="000000"/>
              <w:right w:val="single" w:sz="4" w:space="0" w:color="000000"/>
            </w:tcBorders>
          </w:tcPr>
          <w:p w14:paraId="2AD723CA" w14:textId="77777777" w:rsidR="00C07134" w:rsidRPr="00C07134" w:rsidRDefault="00C07134" w:rsidP="00C07134">
            <w:pPr>
              <w:kinsoku w:val="0"/>
              <w:overflowPunct w:val="0"/>
              <w:autoSpaceDE w:val="0"/>
              <w:autoSpaceDN w:val="0"/>
              <w:adjustRightInd w:val="0"/>
              <w:spacing w:after="0" w:line="240" w:lineRule="auto"/>
              <w:ind w:left="103"/>
              <w:rPr>
                <w:rFonts w:ascii="Times New Roman" w:hAnsi="Times New Roman"/>
                <w:sz w:val="24"/>
                <w:szCs w:val="24"/>
              </w:rPr>
            </w:pPr>
            <w:r w:rsidRPr="00C07134">
              <w:rPr>
                <w:rFonts w:ascii="Times New Roman" w:hAnsi="Times New Roman"/>
                <w:sz w:val="20"/>
                <w:szCs w:val="20"/>
              </w:rPr>
              <w:t>Disabled</w:t>
            </w:r>
            <w:r w:rsidRPr="00C07134">
              <w:rPr>
                <w:rFonts w:ascii="Times New Roman" w:hAnsi="Times New Roman"/>
                <w:spacing w:val="-8"/>
                <w:sz w:val="20"/>
                <w:szCs w:val="20"/>
              </w:rPr>
              <w:t xml:space="preserve"> </w:t>
            </w:r>
            <w:r w:rsidRPr="00C07134">
              <w:rPr>
                <w:rFonts w:ascii="Times New Roman" w:hAnsi="Times New Roman"/>
                <w:sz w:val="20"/>
                <w:szCs w:val="20"/>
              </w:rPr>
              <w:t>Retirees</w:t>
            </w:r>
          </w:p>
        </w:tc>
        <w:tc>
          <w:tcPr>
            <w:tcW w:w="2160" w:type="dxa"/>
            <w:tcBorders>
              <w:top w:val="single" w:sz="4" w:space="0" w:color="000000"/>
              <w:left w:val="single" w:sz="4" w:space="0" w:color="000000"/>
              <w:bottom w:val="single" w:sz="4" w:space="0" w:color="000000"/>
              <w:right w:val="single" w:sz="4" w:space="0" w:color="000000"/>
            </w:tcBorders>
          </w:tcPr>
          <w:p w14:paraId="1A84C8BD" w14:textId="77777777" w:rsidR="00C07134" w:rsidRPr="00C07134" w:rsidRDefault="00C07134" w:rsidP="00C07134">
            <w:pPr>
              <w:kinsoku w:val="0"/>
              <w:overflowPunct w:val="0"/>
              <w:autoSpaceDE w:val="0"/>
              <w:autoSpaceDN w:val="0"/>
              <w:adjustRightInd w:val="0"/>
              <w:spacing w:after="0" w:line="240" w:lineRule="auto"/>
              <w:ind w:left="100"/>
              <w:rPr>
                <w:rFonts w:ascii="Times New Roman" w:hAnsi="Times New Roman"/>
                <w:sz w:val="24"/>
                <w:szCs w:val="24"/>
              </w:rPr>
            </w:pPr>
            <w:r w:rsidRPr="00C07134">
              <w:rPr>
                <w:rFonts w:ascii="Times New Roman" w:hAnsi="Times New Roman"/>
                <w:sz w:val="20"/>
                <w:szCs w:val="20"/>
              </w:rPr>
              <w:t>Teacher</w:t>
            </w:r>
            <w:r w:rsidRPr="00C07134">
              <w:rPr>
                <w:rFonts w:ascii="Times New Roman" w:hAnsi="Times New Roman"/>
                <w:spacing w:val="-7"/>
                <w:sz w:val="20"/>
                <w:szCs w:val="20"/>
              </w:rPr>
              <w:t xml:space="preserve"> </w:t>
            </w:r>
            <w:r w:rsidRPr="00C07134">
              <w:rPr>
                <w:rFonts w:ascii="Times New Roman" w:hAnsi="Times New Roman"/>
                <w:sz w:val="20"/>
                <w:szCs w:val="20"/>
              </w:rPr>
              <w:t>Disability</w:t>
            </w:r>
          </w:p>
        </w:tc>
        <w:tc>
          <w:tcPr>
            <w:tcW w:w="2610" w:type="dxa"/>
            <w:tcBorders>
              <w:top w:val="single" w:sz="4" w:space="0" w:color="000000"/>
              <w:left w:val="single" w:sz="4" w:space="0" w:color="000000"/>
              <w:bottom w:val="single" w:sz="4" w:space="0" w:color="000000"/>
              <w:right w:val="single" w:sz="4" w:space="0" w:color="000000"/>
            </w:tcBorders>
          </w:tcPr>
          <w:p w14:paraId="7315B1A8" w14:textId="77777777" w:rsidR="00C07134" w:rsidRPr="00C07134" w:rsidRDefault="00C07134" w:rsidP="00C07134">
            <w:pPr>
              <w:kinsoku w:val="0"/>
              <w:overflowPunct w:val="0"/>
              <w:autoSpaceDE w:val="0"/>
              <w:autoSpaceDN w:val="0"/>
              <w:adjustRightInd w:val="0"/>
              <w:spacing w:after="0" w:line="240" w:lineRule="auto"/>
              <w:ind w:left="100"/>
              <w:rPr>
                <w:rFonts w:ascii="Times New Roman" w:hAnsi="Times New Roman"/>
                <w:sz w:val="24"/>
                <w:szCs w:val="24"/>
              </w:rPr>
            </w:pPr>
            <w:r w:rsidRPr="00C07134">
              <w:rPr>
                <w:rFonts w:ascii="Times New Roman" w:hAnsi="Times New Roman"/>
                <w:sz w:val="20"/>
                <w:szCs w:val="20"/>
              </w:rPr>
              <w:t>Male: +8, Female:</w:t>
            </w:r>
            <w:r w:rsidRPr="00C07134">
              <w:rPr>
                <w:rFonts w:ascii="Times New Roman" w:hAnsi="Times New Roman"/>
                <w:spacing w:val="-17"/>
                <w:sz w:val="20"/>
                <w:szCs w:val="20"/>
              </w:rPr>
              <w:t xml:space="preserve"> </w:t>
            </w:r>
            <w:r w:rsidRPr="00C07134">
              <w:rPr>
                <w:rFonts w:ascii="Times New Roman" w:hAnsi="Times New Roman"/>
                <w:sz w:val="20"/>
                <w:szCs w:val="20"/>
              </w:rPr>
              <w:t>+3</w:t>
            </w:r>
          </w:p>
        </w:tc>
        <w:tc>
          <w:tcPr>
            <w:tcW w:w="2719" w:type="dxa"/>
            <w:tcBorders>
              <w:top w:val="single" w:sz="4" w:space="0" w:color="000000"/>
              <w:left w:val="single" w:sz="4" w:space="0" w:color="000000"/>
              <w:bottom w:val="single" w:sz="4" w:space="0" w:color="000000"/>
              <w:right w:val="single" w:sz="4" w:space="0" w:color="000000"/>
            </w:tcBorders>
          </w:tcPr>
          <w:p w14:paraId="224D604F" w14:textId="77777777" w:rsidR="00C07134" w:rsidRPr="00C07134" w:rsidRDefault="00C07134" w:rsidP="00C07134">
            <w:pPr>
              <w:kinsoku w:val="0"/>
              <w:overflowPunct w:val="0"/>
              <w:autoSpaceDE w:val="0"/>
              <w:autoSpaceDN w:val="0"/>
              <w:adjustRightInd w:val="0"/>
              <w:spacing w:after="0" w:line="240" w:lineRule="auto"/>
              <w:ind w:left="103"/>
              <w:rPr>
                <w:rFonts w:ascii="Times New Roman" w:hAnsi="Times New Roman"/>
                <w:sz w:val="24"/>
                <w:szCs w:val="24"/>
              </w:rPr>
            </w:pPr>
            <w:r w:rsidRPr="00C07134">
              <w:rPr>
                <w:rFonts w:ascii="Times New Roman" w:hAnsi="Times New Roman"/>
                <w:sz w:val="20"/>
                <w:szCs w:val="20"/>
              </w:rPr>
              <w:t>None</w:t>
            </w:r>
          </w:p>
        </w:tc>
      </w:tr>
    </w:tbl>
    <w:p w14:paraId="0752E80F" w14:textId="77777777" w:rsidR="005414E6" w:rsidRPr="0055419F" w:rsidRDefault="005414E6" w:rsidP="00664870">
      <w:pPr>
        <w:pStyle w:val="Default"/>
        <w:jc w:val="both"/>
        <w:rPr>
          <w:sz w:val="20"/>
          <w:szCs w:val="20"/>
        </w:rPr>
      </w:pPr>
    </w:p>
    <w:p w14:paraId="256F9342" w14:textId="77777777" w:rsidR="00664870" w:rsidRDefault="00664870" w:rsidP="00664870">
      <w:pPr>
        <w:widowControl w:val="0"/>
        <w:autoSpaceDE w:val="0"/>
        <w:autoSpaceDN w:val="0"/>
        <w:adjustRightInd w:val="0"/>
        <w:spacing w:after="0" w:line="240" w:lineRule="auto"/>
        <w:jc w:val="both"/>
        <w:rPr>
          <w:rFonts w:ascii="Times New Roman" w:hAnsi="Times New Roman"/>
          <w:sz w:val="20"/>
          <w:szCs w:val="20"/>
        </w:rPr>
      </w:pPr>
    </w:p>
    <w:p w14:paraId="6EAE4F85" w14:textId="77777777" w:rsidR="00A26B59" w:rsidRPr="0055419F" w:rsidRDefault="005414E6"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sz w:val="20"/>
          <w:szCs w:val="20"/>
        </w:rPr>
        <w:t>The long-term expected rate of return on pension plan investments was determined using a log-normal distribution analysis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The target asset allocation and best estimates of geometric real rates of return for each major asset class are as follows:</w:t>
      </w:r>
    </w:p>
    <w:p w14:paraId="302D8AF7" w14:textId="2EA0880A" w:rsidR="00954E0C" w:rsidRDefault="00954E0C" w:rsidP="00664870">
      <w:pPr>
        <w:autoSpaceDE w:val="0"/>
        <w:autoSpaceDN w:val="0"/>
        <w:adjustRightInd w:val="0"/>
        <w:spacing w:after="0" w:line="240" w:lineRule="auto"/>
        <w:jc w:val="both"/>
        <w:rPr>
          <w:rFonts w:ascii="Times New Roman" w:hAnsi="Times New Roman"/>
          <w:sz w:val="20"/>
          <w:szCs w:val="20"/>
        </w:rPr>
      </w:pPr>
      <w:bookmarkStart w:id="5" w:name="Pg236"/>
      <w:bookmarkEnd w:id="5"/>
    </w:p>
    <w:p w14:paraId="4908781D" w14:textId="77777777" w:rsidR="00C07134" w:rsidRPr="00C07134" w:rsidRDefault="00C07134" w:rsidP="00C07134">
      <w:pPr>
        <w:kinsoku w:val="0"/>
        <w:overflowPunct w:val="0"/>
        <w:autoSpaceDE w:val="0"/>
        <w:autoSpaceDN w:val="0"/>
        <w:adjustRightInd w:val="0"/>
        <w:spacing w:before="7" w:after="0" w:line="240" w:lineRule="auto"/>
        <w:rPr>
          <w:rFonts w:ascii="Times New Roman" w:hAnsi="Times New Roman"/>
          <w:sz w:val="2"/>
          <w:szCs w:val="2"/>
        </w:rPr>
      </w:pPr>
    </w:p>
    <w:tbl>
      <w:tblPr>
        <w:tblW w:w="0" w:type="auto"/>
        <w:tblInd w:w="86" w:type="dxa"/>
        <w:tblLayout w:type="fixed"/>
        <w:tblCellMar>
          <w:left w:w="0" w:type="dxa"/>
          <w:right w:w="0" w:type="dxa"/>
        </w:tblCellMar>
        <w:tblLook w:val="0000" w:firstRow="0" w:lastRow="0" w:firstColumn="0" w:lastColumn="0" w:noHBand="0" w:noVBand="0"/>
      </w:tblPr>
      <w:tblGrid>
        <w:gridCol w:w="3334"/>
        <w:gridCol w:w="2385"/>
        <w:gridCol w:w="3559"/>
      </w:tblGrid>
      <w:tr w:rsidR="00C07134" w:rsidRPr="00C07134" w14:paraId="7492B118" w14:textId="77777777">
        <w:trPr>
          <w:trHeight w:hRule="exact" w:val="476"/>
        </w:trPr>
        <w:tc>
          <w:tcPr>
            <w:tcW w:w="3334" w:type="dxa"/>
            <w:tcBorders>
              <w:top w:val="single" w:sz="11" w:space="0" w:color="000000"/>
              <w:left w:val="single" w:sz="11" w:space="0" w:color="000000"/>
              <w:bottom w:val="nil"/>
              <w:right w:val="nil"/>
            </w:tcBorders>
            <w:shd w:val="clear" w:color="auto" w:fill="000099"/>
          </w:tcPr>
          <w:p w14:paraId="64F4CAF9" w14:textId="77777777" w:rsidR="00C07134" w:rsidRPr="00C07134" w:rsidRDefault="00C07134" w:rsidP="00C07134">
            <w:pPr>
              <w:kinsoku w:val="0"/>
              <w:overflowPunct w:val="0"/>
              <w:autoSpaceDE w:val="0"/>
              <w:autoSpaceDN w:val="0"/>
              <w:adjustRightInd w:val="0"/>
              <w:spacing w:before="116" w:after="0" w:line="240" w:lineRule="auto"/>
              <w:ind w:left="1358"/>
              <w:rPr>
                <w:rFonts w:ascii="Times New Roman" w:hAnsi="Times New Roman"/>
                <w:sz w:val="24"/>
                <w:szCs w:val="24"/>
              </w:rPr>
            </w:pPr>
            <w:r w:rsidRPr="00C07134">
              <w:rPr>
                <w:rFonts w:ascii="Times New Roman" w:hAnsi="Times New Roman"/>
                <w:b/>
                <w:bCs/>
                <w:color w:val="FFFFFF"/>
                <w:sz w:val="20"/>
                <w:szCs w:val="20"/>
              </w:rPr>
              <w:t>Asset Class</w:t>
            </w:r>
          </w:p>
        </w:tc>
        <w:tc>
          <w:tcPr>
            <w:tcW w:w="2385" w:type="dxa"/>
            <w:tcBorders>
              <w:top w:val="single" w:sz="11" w:space="0" w:color="000000"/>
              <w:left w:val="nil"/>
              <w:bottom w:val="nil"/>
              <w:right w:val="nil"/>
            </w:tcBorders>
            <w:shd w:val="clear" w:color="auto" w:fill="000099"/>
          </w:tcPr>
          <w:p w14:paraId="1E1B9584" w14:textId="77777777" w:rsidR="00C07134" w:rsidRPr="00C07134" w:rsidRDefault="00C07134" w:rsidP="00C07134">
            <w:pPr>
              <w:kinsoku w:val="0"/>
              <w:overflowPunct w:val="0"/>
              <w:autoSpaceDE w:val="0"/>
              <w:autoSpaceDN w:val="0"/>
              <w:adjustRightInd w:val="0"/>
              <w:spacing w:before="1" w:after="0" w:line="240" w:lineRule="auto"/>
              <w:ind w:left="790" w:right="714" w:firstLine="148"/>
              <w:rPr>
                <w:rFonts w:ascii="Times New Roman" w:hAnsi="Times New Roman"/>
                <w:sz w:val="24"/>
                <w:szCs w:val="24"/>
              </w:rPr>
            </w:pPr>
            <w:r w:rsidRPr="00C07134">
              <w:rPr>
                <w:rFonts w:ascii="Times New Roman" w:hAnsi="Times New Roman"/>
                <w:b/>
                <w:bCs/>
                <w:color w:val="FFFFFF"/>
                <w:sz w:val="20"/>
                <w:szCs w:val="20"/>
              </w:rPr>
              <w:t>Target</w:t>
            </w:r>
            <w:r w:rsidRPr="00C07134">
              <w:rPr>
                <w:rFonts w:ascii="Times New Roman" w:hAnsi="Times New Roman"/>
                <w:b/>
                <w:bCs/>
                <w:color w:val="FFFFFF"/>
                <w:w w:val="99"/>
                <w:sz w:val="20"/>
                <w:szCs w:val="20"/>
              </w:rPr>
              <w:t xml:space="preserve"> </w:t>
            </w:r>
            <w:r w:rsidRPr="00C07134">
              <w:rPr>
                <w:rFonts w:ascii="Times New Roman" w:hAnsi="Times New Roman"/>
                <w:b/>
                <w:bCs/>
                <w:color w:val="FFFFFF"/>
                <w:sz w:val="20"/>
                <w:szCs w:val="20"/>
              </w:rPr>
              <w:t>Allocation</w:t>
            </w:r>
          </w:p>
        </w:tc>
        <w:tc>
          <w:tcPr>
            <w:tcW w:w="3559" w:type="dxa"/>
            <w:tcBorders>
              <w:top w:val="single" w:sz="11" w:space="0" w:color="000000"/>
              <w:left w:val="nil"/>
              <w:bottom w:val="nil"/>
              <w:right w:val="single" w:sz="11" w:space="0" w:color="000000"/>
            </w:tcBorders>
            <w:shd w:val="clear" w:color="auto" w:fill="000099"/>
          </w:tcPr>
          <w:p w14:paraId="2343A160" w14:textId="77777777" w:rsidR="00C07134" w:rsidRPr="00C07134" w:rsidRDefault="00C07134" w:rsidP="00C07134">
            <w:pPr>
              <w:kinsoku w:val="0"/>
              <w:overflowPunct w:val="0"/>
              <w:autoSpaceDE w:val="0"/>
              <w:autoSpaceDN w:val="0"/>
              <w:adjustRightInd w:val="0"/>
              <w:spacing w:before="1" w:after="0" w:line="240" w:lineRule="auto"/>
              <w:ind w:left="942" w:right="1000" w:hanging="226"/>
              <w:rPr>
                <w:rFonts w:ascii="Times New Roman" w:hAnsi="Times New Roman"/>
                <w:sz w:val="24"/>
                <w:szCs w:val="24"/>
              </w:rPr>
            </w:pPr>
            <w:r w:rsidRPr="00C07134">
              <w:rPr>
                <w:rFonts w:ascii="Times New Roman" w:hAnsi="Times New Roman"/>
                <w:b/>
                <w:bCs/>
                <w:color w:val="FFFFFF"/>
                <w:sz w:val="20"/>
                <w:szCs w:val="20"/>
              </w:rPr>
              <w:t>Long-Term</w:t>
            </w:r>
            <w:r w:rsidRPr="00C07134">
              <w:rPr>
                <w:rFonts w:ascii="Times New Roman" w:hAnsi="Times New Roman"/>
                <w:b/>
                <w:bCs/>
                <w:color w:val="FFFFFF"/>
                <w:spacing w:val="-4"/>
                <w:sz w:val="20"/>
                <w:szCs w:val="20"/>
              </w:rPr>
              <w:t xml:space="preserve"> </w:t>
            </w:r>
            <w:r w:rsidRPr="00C07134">
              <w:rPr>
                <w:rFonts w:ascii="Times New Roman" w:hAnsi="Times New Roman"/>
                <w:b/>
                <w:bCs/>
                <w:color w:val="FFFFFF"/>
                <w:sz w:val="20"/>
                <w:szCs w:val="20"/>
              </w:rPr>
              <w:t>Expected</w:t>
            </w:r>
            <w:r w:rsidRPr="00C07134">
              <w:rPr>
                <w:rFonts w:ascii="Times New Roman" w:hAnsi="Times New Roman"/>
                <w:b/>
                <w:bCs/>
                <w:color w:val="FFFFFF"/>
                <w:w w:val="99"/>
                <w:sz w:val="20"/>
                <w:szCs w:val="20"/>
              </w:rPr>
              <w:t xml:space="preserve"> </w:t>
            </w:r>
            <w:r w:rsidRPr="00C07134">
              <w:rPr>
                <w:rFonts w:ascii="Times New Roman" w:hAnsi="Times New Roman"/>
                <w:b/>
                <w:bCs/>
                <w:color w:val="FFFFFF"/>
                <w:sz w:val="20"/>
                <w:szCs w:val="20"/>
              </w:rPr>
              <w:t>Rate of</w:t>
            </w:r>
            <w:r w:rsidRPr="00C07134">
              <w:rPr>
                <w:rFonts w:ascii="Times New Roman" w:hAnsi="Times New Roman"/>
                <w:b/>
                <w:bCs/>
                <w:color w:val="FFFFFF"/>
                <w:spacing w:val="-1"/>
                <w:sz w:val="20"/>
                <w:szCs w:val="20"/>
              </w:rPr>
              <w:t xml:space="preserve"> </w:t>
            </w:r>
            <w:r w:rsidRPr="00C07134">
              <w:rPr>
                <w:rFonts w:ascii="Times New Roman" w:hAnsi="Times New Roman"/>
                <w:b/>
                <w:bCs/>
                <w:color w:val="FFFFFF"/>
                <w:sz w:val="20"/>
                <w:szCs w:val="20"/>
              </w:rPr>
              <w:t>Return*</w:t>
            </w:r>
          </w:p>
        </w:tc>
      </w:tr>
      <w:tr w:rsidR="00C07134" w:rsidRPr="00C07134" w14:paraId="033C388F" w14:textId="77777777">
        <w:trPr>
          <w:trHeight w:hRule="exact" w:val="239"/>
        </w:trPr>
        <w:tc>
          <w:tcPr>
            <w:tcW w:w="3334" w:type="dxa"/>
            <w:tcBorders>
              <w:top w:val="nil"/>
              <w:left w:val="single" w:sz="11" w:space="0" w:color="000000"/>
              <w:bottom w:val="nil"/>
              <w:right w:val="nil"/>
            </w:tcBorders>
          </w:tcPr>
          <w:p w14:paraId="3AA0E207" w14:textId="77777777" w:rsidR="00C07134" w:rsidRPr="00C07134" w:rsidRDefault="00C07134" w:rsidP="00C07134">
            <w:pPr>
              <w:kinsoku w:val="0"/>
              <w:overflowPunct w:val="0"/>
              <w:autoSpaceDE w:val="0"/>
              <w:autoSpaceDN w:val="0"/>
              <w:adjustRightInd w:val="0"/>
              <w:spacing w:after="0" w:line="228" w:lineRule="exact"/>
              <w:ind w:left="331"/>
              <w:rPr>
                <w:rFonts w:ascii="Times New Roman" w:hAnsi="Times New Roman"/>
                <w:sz w:val="24"/>
                <w:szCs w:val="24"/>
              </w:rPr>
            </w:pPr>
            <w:r w:rsidRPr="00C07134">
              <w:rPr>
                <w:rFonts w:ascii="Times New Roman" w:hAnsi="Times New Roman"/>
                <w:sz w:val="20"/>
                <w:szCs w:val="20"/>
              </w:rPr>
              <w:t>Fixed Income</w:t>
            </w:r>
          </w:p>
        </w:tc>
        <w:tc>
          <w:tcPr>
            <w:tcW w:w="2385" w:type="dxa"/>
            <w:tcBorders>
              <w:top w:val="nil"/>
              <w:left w:val="nil"/>
              <w:bottom w:val="nil"/>
              <w:right w:val="nil"/>
            </w:tcBorders>
          </w:tcPr>
          <w:p w14:paraId="490BE735" w14:textId="77777777" w:rsidR="00C07134" w:rsidRPr="00C07134" w:rsidRDefault="00C07134" w:rsidP="00C07134">
            <w:pPr>
              <w:kinsoku w:val="0"/>
              <w:overflowPunct w:val="0"/>
              <w:autoSpaceDE w:val="0"/>
              <w:autoSpaceDN w:val="0"/>
              <w:adjustRightInd w:val="0"/>
              <w:spacing w:after="0" w:line="228" w:lineRule="exact"/>
              <w:ind w:right="49"/>
              <w:jc w:val="center"/>
              <w:rPr>
                <w:rFonts w:ascii="Times New Roman" w:hAnsi="Times New Roman"/>
                <w:sz w:val="24"/>
                <w:szCs w:val="24"/>
              </w:rPr>
            </w:pPr>
            <w:r w:rsidRPr="00C07134">
              <w:rPr>
                <w:rFonts w:ascii="Times New Roman" w:hAnsi="Times New Roman"/>
                <w:sz w:val="20"/>
                <w:szCs w:val="20"/>
              </w:rPr>
              <w:t>22.0%</w:t>
            </w:r>
          </w:p>
        </w:tc>
        <w:tc>
          <w:tcPr>
            <w:tcW w:w="3559" w:type="dxa"/>
            <w:tcBorders>
              <w:top w:val="nil"/>
              <w:left w:val="nil"/>
              <w:bottom w:val="nil"/>
              <w:right w:val="single" w:sz="11" w:space="0" w:color="000000"/>
            </w:tcBorders>
          </w:tcPr>
          <w:p w14:paraId="68B1ACBA" w14:textId="77777777" w:rsidR="00C07134" w:rsidRPr="00C07134" w:rsidRDefault="00C07134" w:rsidP="00C07134">
            <w:pPr>
              <w:kinsoku w:val="0"/>
              <w:overflowPunct w:val="0"/>
              <w:autoSpaceDE w:val="0"/>
              <w:autoSpaceDN w:val="0"/>
              <w:adjustRightInd w:val="0"/>
              <w:spacing w:after="0" w:line="228" w:lineRule="exact"/>
              <w:ind w:right="323"/>
              <w:jc w:val="center"/>
              <w:rPr>
                <w:rFonts w:ascii="Times New Roman" w:hAnsi="Times New Roman"/>
                <w:sz w:val="24"/>
                <w:szCs w:val="24"/>
              </w:rPr>
            </w:pPr>
            <w:r w:rsidRPr="00C07134">
              <w:rPr>
                <w:rFonts w:ascii="Times New Roman" w:hAnsi="Times New Roman"/>
                <w:sz w:val="20"/>
                <w:szCs w:val="20"/>
              </w:rPr>
              <w:t>2.8%</w:t>
            </w:r>
          </w:p>
        </w:tc>
      </w:tr>
      <w:tr w:rsidR="00C07134" w:rsidRPr="00C07134" w14:paraId="516EF637" w14:textId="77777777">
        <w:trPr>
          <w:trHeight w:hRule="exact" w:val="230"/>
        </w:trPr>
        <w:tc>
          <w:tcPr>
            <w:tcW w:w="3334" w:type="dxa"/>
            <w:tcBorders>
              <w:top w:val="nil"/>
              <w:left w:val="single" w:sz="11" w:space="0" w:color="000000"/>
              <w:bottom w:val="nil"/>
              <w:right w:val="nil"/>
            </w:tcBorders>
          </w:tcPr>
          <w:p w14:paraId="38528963" w14:textId="77777777" w:rsidR="00C07134" w:rsidRPr="00C07134" w:rsidRDefault="00C07134" w:rsidP="00C07134">
            <w:pPr>
              <w:kinsoku w:val="0"/>
              <w:overflowPunct w:val="0"/>
              <w:autoSpaceDE w:val="0"/>
              <w:autoSpaceDN w:val="0"/>
              <w:adjustRightInd w:val="0"/>
              <w:spacing w:after="0" w:line="219" w:lineRule="exact"/>
              <w:ind w:left="331"/>
              <w:rPr>
                <w:rFonts w:ascii="Times New Roman" w:hAnsi="Times New Roman"/>
                <w:sz w:val="24"/>
                <w:szCs w:val="24"/>
              </w:rPr>
            </w:pPr>
            <w:r w:rsidRPr="00C07134">
              <w:rPr>
                <w:rFonts w:ascii="Times New Roman" w:hAnsi="Times New Roman"/>
                <w:sz w:val="20"/>
                <w:szCs w:val="20"/>
              </w:rPr>
              <w:t>US Large</w:t>
            </w:r>
            <w:r w:rsidRPr="00C07134">
              <w:rPr>
                <w:rFonts w:ascii="Times New Roman" w:hAnsi="Times New Roman"/>
                <w:spacing w:val="-2"/>
                <w:sz w:val="20"/>
                <w:szCs w:val="20"/>
              </w:rPr>
              <w:t xml:space="preserve"> </w:t>
            </w:r>
            <w:r w:rsidRPr="00C07134">
              <w:rPr>
                <w:rFonts w:ascii="Times New Roman" w:hAnsi="Times New Roman"/>
                <w:sz w:val="20"/>
                <w:szCs w:val="20"/>
              </w:rPr>
              <w:t>Stocks</w:t>
            </w:r>
          </w:p>
        </w:tc>
        <w:tc>
          <w:tcPr>
            <w:tcW w:w="2385" w:type="dxa"/>
            <w:tcBorders>
              <w:top w:val="nil"/>
              <w:left w:val="nil"/>
              <w:bottom w:val="nil"/>
              <w:right w:val="nil"/>
            </w:tcBorders>
          </w:tcPr>
          <w:p w14:paraId="516D60BA" w14:textId="77777777" w:rsidR="00C07134" w:rsidRPr="00C07134" w:rsidRDefault="00C07134" w:rsidP="00C07134">
            <w:pPr>
              <w:kinsoku w:val="0"/>
              <w:overflowPunct w:val="0"/>
              <w:autoSpaceDE w:val="0"/>
              <w:autoSpaceDN w:val="0"/>
              <w:adjustRightInd w:val="0"/>
              <w:spacing w:after="0" w:line="219" w:lineRule="exact"/>
              <w:ind w:right="49"/>
              <w:jc w:val="center"/>
              <w:rPr>
                <w:rFonts w:ascii="Times New Roman" w:hAnsi="Times New Roman"/>
                <w:sz w:val="24"/>
                <w:szCs w:val="24"/>
              </w:rPr>
            </w:pPr>
            <w:r w:rsidRPr="00C07134">
              <w:rPr>
                <w:rFonts w:ascii="Times New Roman" w:hAnsi="Times New Roman"/>
                <w:sz w:val="20"/>
                <w:szCs w:val="20"/>
              </w:rPr>
              <w:t>39.0%</w:t>
            </w:r>
          </w:p>
        </w:tc>
        <w:tc>
          <w:tcPr>
            <w:tcW w:w="3559" w:type="dxa"/>
            <w:tcBorders>
              <w:top w:val="nil"/>
              <w:left w:val="nil"/>
              <w:bottom w:val="nil"/>
              <w:right w:val="single" w:sz="11" w:space="0" w:color="000000"/>
            </w:tcBorders>
          </w:tcPr>
          <w:p w14:paraId="6C248E2B" w14:textId="77777777" w:rsidR="00C07134" w:rsidRPr="00C07134" w:rsidRDefault="00C07134" w:rsidP="00C07134">
            <w:pPr>
              <w:kinsoku w:val="0"/>
              <w:overflowPunct w:val="0"/>
              <w:autoSpaceDE w:val="0"/>
              <w:autoSpaceDN w:val="0"/>
              <w:adjustRightInd w:val="0"/>
              <w:spacing w:after="0" w:line="219" w:lineRule="exact"/>
              <w:ind w:right="323"/>
              <w:jc w:val="center"/>
              <w:rPr>
                <w:rFonts w:ascii="Times New Roman" w:hAnsi="Times New Roman"/>
                <w:sz w:val="24"/>
                <w:szCs w:val="24"/>
              </w:rPr>
            </w:pPr>
            <w:r w:rsidRPr="00C07134">
              <w:rPr>
                <w:rFonts w:ascii="Times New Roman" w:hAnsi="Times New Roman"/>
                <w:sz w:val="20"/>
                <w:szCs w:val="20"/>
              </w:rPr>
              <w:t>8.0%</w:t>
            </w:r>
          </w:p>
        </w:tc>
      </w:tr>
      <w:tr w:rsidR="00C07134" w:rsidRPr="00C07134" w14:paraId="5E59E352" w14:textId="77777777">
        <w:trPr>
          <w:trHeight w:hRule="exact" w:val="230"/>
        </w:trPr>
        <w:tc>
          <w:tcPr>
            <w:tcW w:w="3334" w:type="dxa"/>
            <w:tcBorders>
              <w:top w:val="nil"/>
              <w:left w:val="single" w:sz="11" w:space="0" w:color="000000"/>
              <w:bottom w:val="nil"/>
              <w:right w:val="nil"/>
            </w:tcBorders>
          </w:tcPr>
          <w:p w14:paraId="28E879B8" w14:textId="77777777" w:rsidR="00C07134" w:rsidRPr="00C07134" w:rsidRDefault="00C07134" w:rsidP="00C07134">
            <w:pPr>
              <w:kinsoku w:val="0"/>
              <w:overflowPunct w:val="0"/>
              <w:autoSpaceDE w:val="0"/>
              <w:autoSpaceDN w:val="0"/>
              <w:adjustRightInd w:val="0"/>
              <w:spacing w:after="0" w:line="219" w:lineRule="exact"/>
              <w:ind w:left="331"/>
              <w:rPr>
                <w:rFonts w:ascii="Times New Roman" w:hAnsi="Times New Roman"/>
                <w:sz w:val="24"/>
                <w:szCs w:val="24"/>
              </w:rPr>
            </w:pPr>
            <w:r w:rsidRPr="00C07134">
              <w:rPr>
                <w:rFonts w:ascii="Times New Roman" w:hAnsi="Times New Roman"/>
                <w:sz w:val="20"/>
                <w:szCs w:val="20"/>
              </w:rPr>
              <w:t>US Mid</w:t>
            </w:r>
            <w:r w:rsidRPr="00C07134">
              <w:rPr>
                <w:rFonts w:ascii="Times New Roman" w:hAnsi="Times New Roman"/>
                <w:spacing w:val="-1"/>
                <w:sz w:val="20"/>
                <w:szCs w:val="20"/>
              </w:rPr>
              <w:t xml:space="preserve"> </w:t>
            </w:r>
            <w:r w:rsidRPr="00C07134">
              <w:rPr>
                <w:rFonts w:ascii="Times New Roman" w:hAnsi="Times New Roman"/>
                <w:sz w:val="20"/>
                <w:szCs w:val="20"/>
              </w:rPr>
              <w:t>Stocks</w:t>
            </w:r>
          </w:p>
        </w:tc>
        <w:tc>
          <w:tcPr>
            <w:tcW w:w="2385" w:type="dxa"/>
            <w:tcBorders>
              <w:top w:val="nil"/>
              <w:left w:val="nil"/>
              <w:bottom w:val="nil"/>
              <w:right w:val="nil"/>
            </w:tcBorders>
          </w:tcPr>
          <w:p w14:paraId="7992443C" w14:textId="77777777" w:rsidR="00C07134" w:rsidRPr="00C07134" w:rsidRDefault="00C07134" w:rsidP="00C07134">
            <w:pPr>
              <w:kinsoku w:val="0"/>
              <w:overflowPunct w:val="0"/>
              <w:autoSpaceDE w:val="0"/>
              <w:autoSpaceDN w:val="0"/>
              <w:adjustRightInd w:val="0"/>
              <w:spacing w:after="0" w:line="219" w:lineRule="exact"/>
              <w:ind w:right="49"/>
              <w:jc w:val="center"/>
              <w:rPr>
                <w:rFonts w:ascii="Times New Roman" w:hAnsi="Times New Roman"/>
                <w:sz w:val="24"/>
                <w:szCs w:val="24"/>
              </w:rPr>
            </w:pPr>
            <w:r w:rsidRPr="00C07134">
              <w:rPr>
                <w:rFonts w:ascii="Times New Roman" w:hAnsi="Times New Roman"/>
                <w:sz w:val="20"/>
                <w:szCs w:val="20"/>
              </w:rPr>
              <w:t>11.0%</w:t>
            </w:r>
          </w:p>
        </w:tc>
        <w:tc>
          <w:tcPr>
            <w:tcW w:w="3559" w:type="dxa"/>
            <w:tcBorders>
              <w:top w:val="nil"/>
              <w:left w:val="nil"/>
              <w:bottom w:val="nil"/>
              <w:right w:val="single" w:sz="11" w:space="0" w:color="000000"/>
            </w:tcBorders>
          </w:tcPr>
          <w:p w14:paraId="7B509B11" w14:textId="77777777" w:rsidR="00C07134" w:rsidRPr="00C07134" w:rsidRDefault="00C07134" w:rsidP="00C07134">
            <w:pPr>
              <w:kinsoku w:val="0"/>
              <w:overflowPunct w:val="0"/>
              <w:autoSpaceDE w:val="0"/>
              <w:autoSpaceDN w:val="0"/>
              <w:adjustRightInd w:val="0"/>
              <w:spacing w:after="0" w:line="219" w:lineRule="exact"/>
              <w:ind w:right="424"/>
              <w:jc w:val="center"/>
              <w:rPr>
                <w:rFonts w:ascii="Times New Roman" w:hAnsi="Times New Roman"/>
                <w:sz w:val="24"/>
                <w:szCs w:val="24"/>
              </w:rPr>
            </w:pPr>
            <w:r w:rsidRPr="00C07134">
              <w:rPr>
                <w:rFonts w:ascii="Times New Roman" w:hAnsi="Times New Roman"/>
                <w:sz w:val="20"/>
                <w:szCs w:val="20"/>
              </w:rPr>
              <w:t>10.0%</w:t>
            </w:r>
          </w:p>
        </w:tc>
      </w:tr>
      <w:tr w:rsidR="00C07134" w:rsidRPr="00C07134" w14:paraId="4579ED48" w14:textId="77777777">
        <w:trPr>
          <w:trHeight w:hRule="exact" w:val="230"/>
        </w:trPr>
        <w:tc>
          <w:tcPr>
            <w:tcW w:w="3334" w:type="dxa"/>
            <w:tcBorders>
              <w:top w:val="nil"/>
              <w:left w:val="single" w:sz="11" w:space="0" w:color="000000"/>
              <w:bottom w:val="nil"/>
              <w:right w:val="nil"/>
            </w:tcBorders>
          </w:tcPr>
          <w:p w14:paraId="39729C47" w14:textId="77777777" w:rsidR="00C07134" w:rsidRPr="00C07134" w:rsidRDefault="00C07134" w:rsidP="00C07134">
            <w:pPr>
              <w:kinsoku w:val="0"/>
              <w:overflowPunct w:val="0"/>
              <w:autoSpaceDE w:val="0"/>
              <w:autoSpaceDN w:val="0"/>
              <w:adjustRightInd w:val="0"/>
              <w:spacing w:after="0" w:line="219" w:lineRule="exact"/>
              <w:ind w:left="331"/>
              <w:rPr>
                <w:rFonts w:ascii="Times New Roman" w:hAnsi="Times New Roman"/>
                <w:sz w:val="24"/>
                <w:szCs w:val="24"/>
              </w:rPr>
            </w:pPr>
            <w:r w:rsidRPr="00C07134">
              <w:rPr>
                <w:rFonts w:ascii="Times New Roman" w:hAnsi="Times New Roman"/>
                <w:sz w:val="20"/>
                <w:szCs w:val="20"/>
              </w:rPr>
              <w:t>US Small</w:t>
            </w:r>
            <w:r w:rsidRPr="00C07134">
              <w:rPr>
                <w:rFonts w:ascii="Times New Roman" w:hAnsi="Times New Roman"/>
                <w:spacing w:val="-2"/>
                <w:sz w:val="20"/>
                <w:szCs w:val="20"/>
              </w:rPr>
              <w:t xml:space="preserve"> </w:t>
            </w:r>
            <w:r w:rsidRPr="00C07134">
              <w:rPr>
                <w:rFonts w:ascii="Times New Roman" w:hAnsi="Times New Roman"/>
                <w:sz w:val="20"/>
                <w:szCs w:val="20"/>
              </w:rPr>
              <w:t>Stocks</w:t>
            </w:r>
          </w:p>
        </w:tc>
        <w:tc>
          <w:tcPr>
            <w:tcW w:w="2385" w:type="dxa"/>
            <w:tcBorders>
              <w:top w:val="nil"/>
              <w:left w:val="nil"/>
              <w:bottom w:val="nil"/>
              <w:right w:val="nil"/>
            </w:tcBorders>
          </w:tcPr>
          <w:p w14:paraId="7CE22150" w14:textId="77777777" w:rsidR="00C07134" w:rsidRPr="00C07134" w:rsidRDefault="00C07134" w:rsidP="00C07134">
            <w:pPr>
              <w:kinsoku w:val="0"/>
              <w:overflowPunct w:val="0"/>
              <w:autoSpaceDE w:val="0"/>
              <w:autoSpaceDN w:val="0"/>
              <w:adjustRightInd w:val="0"/>
              <w:spacing w:after="0" w:line="219" w:lineRule="exact"/>
              <w:ind w:left="49"/>
              <w:jc w:val="center"/>
              <w:rPr>
                <w:rFonts w:ascii="Times New Roman" w:hAnsi="Times New Roman"/>
                <w:sz w:val="24"/>
                <w:szCs w:val="24"/>
              </w:rPr>
            </w:pPr>
            <w:r w:rsidRPr="00C07134">
              <w:rPr>
                <w:rFonts w:ascii="Times New Roman" w:hAnsi="Times New Roman"/>
                <w:sz w:val="20"/>
                <w:szCs w:val="20"/>
              </w:rPr>
              <w:t>5.0%</w:t>
            </w:r>
          </w:p>
        </w:tc>
        <w:tc>
          <w:tcPr>
            <w:tcW w:w="3559" w:type="dxa"/>
            <w:tcBorders>
              <w:top w:val="nil"/>
              <w:left w:val="nil"/>
              <w:bottom w:val="nil"/>
              <w:right w:val="single" w:sz="11" w:space="0" w:color="000000"/>
            </w:tcBorders>
          </w:tcPr>
          <w:p w14:paraId="0A24EBE2" w14:textId="77777777" w:rsidR="00C07134" w:rsidRPr="00C07134" w:rsidRDefault="00C07134" w:rsidP="00C07134">
            <w:pPr>
              <w:kinsoku w:val="0"/>
              <w:overflowPunct w:val="0"/>
              <w:autoSpaceDE w:val="0"/>
              <w:autoSpaceDN w:val="0"/>
              <w:adjustRightInd w:val="0"/>
              <w:spacing w:after="0" w:line="219" w:lineRule="exact"/>
              <w:ind w:right="424"/>
              <w:jc w:val="center"/>
              <w:rPr>
                <w:rFonts w:ascii="Times New Roman" w:hAnsi="Times New Roman"/>
                <w:sz w:val="24"/>
                <w:szCs w:val="24"/>
              </w:rPr>
            </w:pPr>
            <w:r w:rsidRPr="00C07134">
              <w:rPr>
                <w:rFonts w:ascii="Times New Roman" w:hAnsi="Times New Roman"/>
                <w:sz w:val="20"/>
                <w:szCs w:val="20"/>
              </w:rPr>
              <w:t>11.0%</w:t>
            </w:r>
          </w:p>
        </w:tc>
      </w:tr>
      <w:tr w:rsidR="00C07134" w:rsidRPr="00C07134" w14:paraId="018B1F2A" w14:textId="77777777">
        <w:trPr>
          <w:trHeight w:hRule="exact" w:val="230"/>
        </w:trPr>
        <w:tc>
          <w:tcPr>
            <w:tcW w:w="3334" w:type="dxa"/>
            <w:tcBorders>
              <w:top w:val="nil"/>
              <w:left w:val="single" w:sz="11" w:space="0" w:color="000000"/>
              <w:bottom w:val="nil"/>
              <w:right w:val="nil"/>
            </w:tcBorders>
          </w:tcPr>
          <w:p w14:paraId="7190B520" w14:textId="77777777" w:rsidR="00C07134" w:rsidRPr="00C07134" w:rsidRDefault="00C07134" w:rsidP="00C07134">
            <w:pPr>
              <w:kinsoku w:val="0"/>
              <w:overflowPunct w:val="0"/>
              <w:autoSpaceDE w:val="0"/>
              <w:autoSpaceDN w:val="0"/>
              <w:adjustRightInd w:val="0"/>
              <w:spacing w:after="0" w:line="219" w:lineRule="exact"/>
              <w:ind w:left="331"/>
              <w:rPr>
                <w:rFonts w:ascii="Times New Roman" w:hAnsi="Times New Roman"/>
                <w:sz w:val="24"/>
                <w:szCs w:val="24"/>
              </w:rPr>
            </w:pPr>
            <w:r w:rsidRPr="00C07134">
              <w:rPr>
                <w:rFonts w:ascii="Times New Roman" w:hAnsi="Times New Roman"/>
                <w:sz w:val="20"/>
                <w:szCs w:val="20"/>
              </w:rPr>
              <w:t>Int'l Developed Mkt</w:t>
            </w:r>
            <w:r w:rsidRPr="00C07134">
              <w:rPr>
                <w:rFonts w:ascii="Times New Roman" w:hAnsi="Times New Roman"/>
                <w:spacing w:val="-2"/>
                <w:sz w:val="20"/>
                <w:szCs w:val="20"/>
              </w:rPr>
              <w:t xml:space="preserve"> </w:t>
            </w:r>
            <w:r w:rsidRPr="00C07134">
              <w:rPr>
                <w:rFonts w:ascii="Times New Roman" w:hAnsi="Times New Roman"/>
                <w:sz w:val="20"/>
                <w:szCs w:val="20"/>
              </w:rPr>
              <w:t>Stocks</w:t>
            </w:r>
          </w:p>
        </w:tc>
        <w:tc>
          <w:tcPr>
            <w:tcW w:w="2385" w:type="dxa"/>
            <w:tcBorders>
              <w:top w:val="nil"/>
              <w:left w:val="nil"/>
              <w:bottom w:val="nil"/>
              <w:right w:val="nil"/>
            </w:tcBorders>
          </w:tcPr>
          <w:p w14:paraId="578181E3" w14:textId="77777777" w:rsidR="00C07134" w:rsidRPr="00C07134" w:rsidRDefault="00C07134" w:rsidP="00C07134">
            <w:pPr>
              <w:kinsoku w:val="0"/>
              <w:overflowPunct w:val="0"/>
              <w:autoSpaceDE w:val="0"/>
              <w:autoSpaceDN w:val="0"/>
              <w:adjustRightInd w:val="0"/>
              <w:spacing w:after="0" w:line="219" w:lineRule="exact"/>
              <w:ind w:right="49"/>
              <w:jc w:val="center"/>
              <w:rPr>
                <w:rFonts w:ascii="Times New Roman" w:hAnsi="Times New Roman"/>
                <w:sz w:val="24"/>
                <w:szCs w:val="24"/>
              </w:rPr>
            </w:pPr>
            <w:r w:rsidRPr="00C07134">
              <w:rPr>
                <w:rFonts w:ascii="Times New Roman" w:hAnsi="Times New Roman"/>
                <w:sz w:val="20"/>
                <w:szCs w:val="20"/>
              </w:rPr>
              <w:t>12.0%</w:t>
            </w:r>
          </w:p>
        </w:tc>
        <w:tc>
          <w:tcPr>
            <w:tcW w:w="3559" w:type="dxa"/>
            <w:tcBorders>
              <w:top w:val="nil"/>
              <w:left w:val="nil"/>
              <w:bottom w:val="nil"/>
              <w:right w:val="single" w:sz="11" w:space="0" w:color="000000"/>
            </w:tcBorders>
          </w:tcPr>
          <w:p w14:paraId="1E60C5A5" w14:textId="77777777" w:rsidR="00C07134" w:rsidRPr="00C07134" w:rsidRDefault="00C07134" w:rsidP="00C07134">
            <w:pPr>
              <w:kinsoku w:val="0"/>
              <w:overflowPunct w:val="0"/>
              <w:autoSpaceDE w:val="0"/>
              <w:autoSpaceDN w:val="0"/>
              <w:adjustRightInd w:val="0"/>
              <w:spacing w:after="0" w:line="219" w:lineRule="exact"/>
              <w:ind w:right="323"/>
              <w:jc w:val="center"/>
              <w:rPr>
                <w:rFonts w:ascii="Times New Roman" w:hAnsi="Times New Roman"/>
                <w:sz w:val="24"/>
                <w:szCs w:val="24"/>
              </w:rPr>
            </w:pPr>
            <w:r w:rsidRPr="00C07134">
              <w:rPr>
                <w:rFonts w:ascii="Times New Roman" w:hAnsi="Times New Roman"/>
                <w:sz w:val="20"/>
                <w:szCs w:val="20"/>
              </w:rPr>
              <w:t>9.5%</w:t>
            </w:r>
          </w:p>
        </w:tc>
      </w:tr>
      <w:tr w:rsidR="00C07134" w:rsidRPr="00C07134" w14:paraId="2C528185" w14:textId="77777777">
        <w:trPr>
          <w:trHeight w:hRule="exact" w:val="229"/>
        </w:trPr>
        <w:tc>
          <w:tcPr>
            <w:tcW w:w="3334" w:type="dxa"/>
            <w:tcBorders>
              <w:top w:val="nil"/>
              <w:left w:val="single" w:sz="11" w:space="0" w:color="000000"/>
              <w:bottom w:val="nil"/>
              <w:right w:val="nil"/>
            </w:tcBorders>
          </w:tcPr>
          <w:p w14:paraId="51374807" w14:textId="77777777" w:rsidR="00C07134" w:rsidRPr="00C07134" w:rsidRDefault="00C07134" w:rsidP="00C07134">
            <w:pPr>
              <w:kinsoku w:val="0"/>
              <w:overflowPunct w:val="0"/>
              <w:autoSpaceDE w:val="0"/>
              <w:autoSpaceDN w:val="0"/>
              <w:adjustRightInd w:val="0"/>
              <w:spacing w:after="0" w:line="219" w:lineRule="exact"/>
              <w:ind w:left="331"/>
              <w:rPr>
                <w:rFonts w:ascii="Times New Roman" w:hAnsi="Times New Roman"/>
                <w:sz w:val="24"/>
                <w:szCs w:val="24"/>
              </w:rPr>
            </w:pPr>
            <w:r w:rsidRPr="00C07134">
              <w:rPr>
                <w:rFonts w:ascii="Times New Roman" w:hAnsi="Times New Roman"/>
                <w:sz w:val="20"/>
                <w:szCs w:val="20"/>
              </w:rPr>
              <w:t>Int'l Emerging Mkt</w:t>
            </w:r>
            <w:r w:rsidRPr="00C07134">
              <w:rPr>
                <w:rFonts w:ascii="Times New Roman" w:hAnsi="Times New Roman"/>
                <w:spacing w:val="-2"/>
                <w:sz w:val="20"/>
                <w:szCs w:val="20"/>
              </w:rPr>
              <w:t xml:space="preserve"> </w:t>
            </w:r>
            <w:r w:rsidRPr="00C07134">
              <w:rPr>
                <w:rFonts w:ascii="Times New Roman" w:hAnsi="Times New Roman"/>
                <w:sz w:val="20"/>
                <w:szCs w:val="20"/>
              </w:rPr>
              <w:t>Stocks</w:t>
            </w:r>
          </w:p>
        </w:tc>
        <w:tc>
          <w:tcPr>
            <w:tcW w:w="2385" w:type="dxa"/>
            <w:tcBorders>
              <w:top w:val="nil"/>
              <w:left w:val="nil"/>
              <w:bottom w:val="nil"/>
              <w:right w:val="nil"/>
            </w:tcBorders>
          </w:tcPr>
          <w:p w14:paraId="50D3101B" w14:textId="77777777" w:rsidR="00C07134" w:rsidRPr="00C07134" w:rsidRDefault="00C07134" w:rsidP="00C07134">
            <w:pPr>
              <w:kinsoku w:val="0"/>
              <w:overflowPunct w:val="0"/>
              <w:autoSpaceDE w:val="0"/>
              <w:autoSpaceDN w:val="0"/>
              <w:adjustRightInd w:val="0"/>
              <w:spacing w:after="0" w:line="219" w:lineRule="exact"/>
              <w:ind w:left="49"/>
              <w:jc w:val="center"/>
              <w:rPr>
                <w:rFonts w:ascii="Times New Roman" w:hAnsi="Times New Roman"/>
                <w:sz w:val="24"/>
                <w:szCs w:val="24"/>
              </w:rPr>
            </w:pPr>
            <w:r w:rsidRPr="00C07134">
              <w:rPr>
                <w:rFonts w:ascii="Times New Roman" w:hAnsi="Times New Roman"/>
                <w:sz w:val="20"/>
                <w:szCs w:val="20"/>
              </w:rPr>
              <w:t>3.0%</w:t>
            </w:r>
          </w:p>
        </w:tc>
        <w:tc>
          <w:tcPr>
            <w:tcW w:w="3559" w:type="dxa"/>
            <w:tcBorders>
              <w:top w:val="nil"/>
              <w:left w:val="nil"/>
              <w:bottom w:val="nil"/>
              <w:right w:val="single" w:sz="11" w:space="0" w:color="000000"/>
            </w:tcBorders>
          </w:tcPr>
          <w:p w14:paraId="4C1DBFC3" w14:textId="77777777" w:rsidR="00C07134" w:rsidRPr="00C07134" w:rsidRDefault="00C07134" w:rsidP="00C07134">
            <w:pPr>
              <w:kinsoku w:val="0"/>
              <w:overflowPunct w:val="0"/>
              <w:autoSpaceDE w:val="0"/>
              <w:autoSpaceDN w:val="0"/>
              <w:adjustRightInd w:val="0"/>
              <w:spacing w:after="0" w:line="219" w:lineRule="exact"/>
              <w:ind w:right="424"/>
              <w:jc w:val="center"/>
              <w:rPr>
                <w:rFonts w:ascii="Times New Roman" w:hAnsi="Times New Roman"/>
                <w:sz w:val="24"/>
                <w:szCs w:val="24"/>
              </w:rPr>
            </w:pPr>
            <w:r w:rsidRPr="00C07134">
              <w:rPr>
                <w:rFonts w:ascii="Times New Roman" w:hAnsi="Times New Roman"/>
                <w:sz w:val="20"/>
                <w:szCs w:val="20"/>
              </w:rPr>
              <w:t>11.0%</w:t>
            </w:r>
          </w:p>
        </w:tc>
      </w:tr>
      <w:tr w:rsidR="00C07134" w:rsidRPr="00C07134" w14:paraId="71072FEC" w14:textId="77777777">
        <w:trPr>
          <w:trHeight w:hRule="exact" w:val="229"/>
        </w:trPr>
        <w:tc>
          <w:tcPr>
            <w:tcW w:w="3334" w:type="dxa"/>
            <w:tcBorders>
              <w:top w:val="nil"/>
              <w:left w:val="single" w:sz="11" w:space="0" w:color="000000"/>
              <w:bottom w:val="nil"/>
              <w:right w:val="nil"/>
            </w:tcBorders>
          </w:tcPr>
          <w:p w14:paraId="743F9172" w14:textId="77777777" w:rsidR="00C07134" w:rsidRPr="00C07134" w:rsidRDefault="00C07134" w:rsidP="00C07134">
            <w:pPr>
              <w:kinsoku w:val="0"/>
              <w:overflowPunct w:val="0"/>
              <w:autoSpaceDE w:val="0"/>
              <w:autoSpaceDN w:val="0"/>
              <w:adjustRightInd w:val="0"/>
              <w:spacing w:after="0" w:line="218" w:lineRule="exact"/>
              <w:ind w:left="331"/>
              <w:rPr>
                <w:rFonts w:ascii="Times New Roman" w:hAnsi="Times New Roman"/>
                <w:sz w:val="24"/>
                <w:szCs w:val="24"/>
              </w:rPr>
            </w:pPr>
            <w:r w:rsidRPr="00C07134">
              <w:rPr>
                <w:rFonts w:ascii="Times New Roman" w:hAnsi="Times New Roman"/>
                <w:sz w:val="20"/>
                <w:szCs w:val="20"/>
              </w:rPr>
              <w:t>Alternatives</w:t>
            </w:r>
          </w:p>
        </w:tc>
        <w:tc>
          <w:tcPr>
            <w:tcW w:w="2385" w:type="dxa"/>
            <w:tcBorders>
              <w:top w:val="nil"/>
              <w:left w:val="nil"/>
              <w:bottom w:val="nil"/>
              <w:right w:val="nil"/>
            </w:tcBorders>
          </w:tcPr>
          <w:p w14:paraId="45BBC337" w14:textId="77777777" w:rsidR="00C07134" w:rsidRPr="00C07134" w:rsidRDefault="00C07134" w:rsidP="00C07134">
            <w:pPr>
              <w:kinsoku w:val="0"/>
              <w:overflowPunct w:val="0"/>
              <w:autoSpaceDE w:val="0"/>
              <w:autoSpaceDN w:val="0"/>
              <w:adjustRightInd w:val="0"/>
              <w:spacing w:after="0" w:line="218" w:lineRule="exact"/>
              <w:ind w:left="49"/>
              <w:jc w:val="center"/>
              <w:rPr>
                <w:rFonts w:ascii="Times New Roman" w:hAnsi="Times New Roman"/>
                <w:sz w:val="24"/>
                <w:szCs w:val="24"/>
              </w:rPr>
            </w:pPr>
            <w:r w:rsidRPr="00C07134">
              <w:rPr>
                <w:rFonts w:ascii="Times New Roman" w:hAnsi="Times New Roman"/>
                <w:sz w:val="20"/>
                <w:szCs w:val="20"/>
              </w:rPr>
              <w:t>1.0%</w:t>
            </w:r>
          </w:p>
        </w:tc>
        <w:tc>
          <w:tcPr>
            <w:tcW w:w="3559" w:type="dxa"/>
            <w:tcBorders>
              <w:top w:val="nil"/>
              <w:left w:val="nil"/>
              <w:bottom w:val="nil"/>
              <w:right w:val="single" w:sz="11" w:space="0" w:color="000000"/>
            </w:tcBorders>
          </w:tcPr>
          <w:p w14:paraId="4F3CF81C" w14:textId="77777777" w:rsidR="00C07134" w:rsidRPr="00C07134" w:rsidRDefault="00C07134" w:rsidP="00C07134">
            <w:pPr>
              <w:kinsoku w:val="0"/>
              <w:overflowPunct w:val="0"/>
              <w:autoSpaceDE w:val="0"/>
              <w:autoSpaceDN w:val="0"/>
              <w:adjustRightInd w:val="0"/>
              <w:spacing w:after="0" w:line="218" w:lineRule="exact"/>
              <w:ind w:right="323"/>
              <w:jc w:val="center"/>
              <w:rPr>
                <w:rFonts w:ascii="Times New Roman" w:hAnsi="Times New Roman"/>
                <w:sz w:val="24"/>
                <w:szCs w:val="24"/>
              </w:rPr>
            </w:pPr>
            <w:r w:rsidRPr="00C07134">
              <w:rPr>
                <w:rFonts w:ascii="Times New Roman" w:hAnsi="Times New Roman"/>
                <w:sz w:val="20"/>
                <w:szCs w:val="20"/>
              </w:rPr>
              <w:t>9.0%</w:t>
            </w:r>
          </w:p>
        </w:tc>
      </w:tr>
      <w:tr w:rsidR="00C07134" w:rsidRPr="00C07134" w14:paraId="1CB217B6" w14:textId="77777777">
        <w:trPr>
          <w:trHeight w:hRule="exact" w:val="230"/>
        </w:trPr>
        <w:tc>
          <w:tcPr>
            <w:tcW w:w="3334" w:type="dxa"/>
            <w:tcBorders>
              <w:top w:val="nil"/>
              <w:left w:val="single" w:sz="11" w:space="0" w:color="000000"/>
              <w:bottom w:val="nil"/>
              <w:right w:val="nil"/>
            </w:tcBorders>
          </w:tcPr>
          <w:p w14:paraId="3BC66433" w14:textId="77777777" w:rsidR="00C07134" w:rsidRPr="00C07134" w:rsidRDefault="00C07134" w:rsidP="00C07134">
            <w:pPr>
              <w:kinsoku w:val="0"/>
              <w:overflowPunct w:val="0"/>
              <w:autoSpaceDE w:val="0"/>
              <w:autoSpaceDN w:val="0"/>
              <w:adjustRightInd w:val="0"/>
              <w:spacing w:after="0" w:line="219" w:lineRule="exact"/>
              <w:ind w:left="331"/>
              <w:rPr>
                <w:rFonts w:ascii="Times New Roman" w:hAnsi="Times New Roman"/>
                <w:sz w:val="24"/>
                <w:szCs w:val="24"/>
              </w:rPr>
            </w:pPr>
            <w:r w:rsidRPr="00C07134">
              <w:rPr>
                <w:rFonts w:ascii="Times New Roman" w:hAnsi="Times New Roman"/>
                <w:sz w:val="20"/>
                <w:szCs w:val="20"/>
              </w:rPr>
              <w:t>Real</w:t>
            </w:r>
            <w:r w:rsidRPr="00C07134">
              <w:rPr>
                <w:rFonts w:ascii="Times New Roman" w:hAnsi="Times New Roman"/>
                <w:spacing w:val="-2"/>
                <w:sz w:val="20"/>
                <w:szCs w:val="20"/>
              </w:rPr>
              <w:t xml:space="preserve"> </w:t>
            </w:r>
            <w:r w:rsidRPr="00C07134">
              <w:rPr>
                <w:rFonts w:ascii="Times New Roman" w:hAnsi="Times New Roman"/>
                <w:sz w:val="20"/>
                <w:szCs w:val="20"/>
              </w:rPr>
              <w:t>Estate</w:t>
            </w:r>
          </w:p>
        </w:tc>
        <w:tc>
          <w:tcPr>
            <w:tcW w:w="2385" w:type="dxa"/>
            <w:tcBorders>
              <w:top w:val="nil"/>
              <w:left w:val="nil"/>
              <w:bottom w:val="nil"/>
              <w:right w:val="nil"/>
            </w:tcBorders>
          </w:tcPr>
          <w:p w14:paraId="44FECEEB" w14:textId="77777777" w:rsidR="00C07134" w:rsidRPr="00C07134" w:rsidRDefault="00C07134" w:rsidP="00C07134">
            <w:pPr>
              <w:kinsoku w:val="0"/>
              <w:overflowPunct w:val="0"/>
              <w:autoSpaceDE w:val="0"/>
              <w:autoSpaceDN w:val="0"/>
              <w:adjustRightInd w:val="0"/>
              <w:spacing w:after="0" w:line="219" w:lineRule="exact"/>
              <w:ind w:left="49"/>
              <w:jc w:val="center"/>
              <w:rPr>
                <w:rFonts w:ascii="Times New Roman" w:hAnsi="Times New Roman"/>
                <w:sz w:val="24"/>
                <w:szCs w:val="24"/>
              </w:rPr>
            </w:pPr>
            <w:r w:rsidRPr="00C07134">
              <w:rPr>
                <w:rFonts w:ascii="Times New Roman" w:hAnsi="Times New Roman"/>
                <w:sz w:val="20"/>
                <w:szCs w:val="20"/>
              </w:rPr>
              <w:t>2.0%</w:t>
            </w:r>
          </w:p>
        </w:tc>
        <w:tc>
          <w:tcPr>
            <w:tcW w:w="3559" w:type="dxa"/>
            <w:tcBorders>
              <w:top w:val="nil"/>
              <w:left w:val="nil"/>
              <w:bottom w:val="nil"/>
              <w:right w:val="single" w:sz="11" w:space="0" w:color="000000"/>
            </w:tcBorders>
          </w:tcPr>
          <w:p w14:paraId="7E54F7C4" w14:textId="77777777" w:rsidR="00C07134" w:rsidRPr="00C07134" w:rsidRDefault="00C07134" w:rsidP="00C07134">
            <w:pPr>
              <w:kinsoku w:val="0"/>
              <w:overflowPunct w:val="0"/>
              <w:autoSpaceDE w:val="0"/>
              <w:autoSpaceDN w:val="0"/>
              <w:adjustRightInd w:val="0"/>
              <w:spacing w:after="0" w:line="219" w:lineRule="exact"/>
              <w:ind w:right="323"/>
              <w:jc w:val="center"/>
              <w:rPr>
                <w:rFonts w:ascii="Times New Roman" w:hAnsi="Times New Roman"/>
                <w:sz w:val="24"/>
                <w:szCs w:val="24"/>
              </w:rPr>
            </w:pPr>
            <w:r w:rsidRPr="00C07134">
              <w:rPr>
                <w:rFonts w:ascii="Times New Roman" w:hAnsi="Times New Roman"/>
                <w:sz w:val="20"/>
                <w:szCs w:val="20"/>
              </w:rPr>
              <w:t>6.5%</w:t>
            </w:r>
          </w:p>
        </w:tc>
      </w:tr>
      <w:tr w:rsidR="00C07134" w:rsidRPr="00C07134" w14:paraId="0C0F7C45" w14:textId="77777777">
        <w:trPr>
          <w:trHeight w:hRule="exact" w:val="230"/>
        </w:trPr>
        <w:tc>
          <w:tcPr>
            <w:tcW w:w="3334" w:type="dxa"/>
            <w:tcBorders>
              <w:top w:val="nil"/>
              <w:left w:val="single" w:sz="11" w:space="0" w:color="000000"/>
              <w:bottom w:val="nil"/>
              <w:right w:val="nil"/>
            </w:tcBorders>
          </w:tcPr>
          <w:p w14:paraId="77445E2E" w14:textId="77777777" w:rsidR="00C07134" w:rsidRPr="00C07134" w:rsidRDefault="00C07134" w:rsidP="00C07134">
            <w:pPr>
              <w:kinsoku w:val="0"/>
              <w:overflowPunct w:val="0"/>
              <w:autoSpaceDE w:val="0"/>
              <w:autoSpaceDN w:val="0"/>
              <w:adjustRightInd w:val="0"/>
              <w:spacing w:after="0" w:line="219" w:lineRule="exact"/>
              <w:ind w:left="331"/>
              <w:rPr>
                <w:rFonts w:ascii="Times New Roman" w:hAnsi="Times New Roman"/>
                <w:sz w:val="24"/>
                <w:szCs w:val="24"/>
              </w:rPr>
            </w:pPr>
            <w:r w:rsidRPr="00C07134">
              <w:rPr>
                <w:rFonts w:ascii="Times New Roman" w:hAnsi="Times New Roman"/>
                <w:sz w:val="20"/>
                <w:szCs w:val="20"/>
              </w:rPr>
              <w:t>Cash</w:t>
            </w:r>
          </w:p>
        </w:tc>
        <w:tc>
          <w:tcPr>
            <w:tcW w:w="2385" w:type="dxa"/>
            <w:tcBorders>
              <w:top w:val="nil"/>
              <w:left w:val="nil"/>
              <w:bottom w:val="nil"/>
              <w:right w:val="nil"/>
            </w:tcBorders>
          </w:tcPr>
          <w:p w14:paraId="14DE0C57" w14:textId="77777777" w:rsidR="00C07134" w:rsidRPr="00C07134" w:rsidRDefault="00C07134" w:rsidP="00C07134">
            <w:pPr>
              <w:kinsoku w:val="0"/>
              <w:overflowPunct w:val="0"/>
              <w:autoSpaceDE w:val="0"/>
              <w:autoSpaceDN w:val="0"/>
              <w:adjustRightInd w:val="0"/>
              <w:spacing w:after="0" w:line="219" w:lineRule="exact"/>
              <w:ind w:right="99"/>
              <w:jc w:val="center"/>
              <w:rPr>
                <w:rFonts w:ascii="Times New Roman" w:hAnsi="Times New Roman"/>
                <w:sz w:val="24"/>
                <w:szCs w:val="24"/>
              </w:rPr>
            </w:pPr>
            <w:r w:rsidRPr="00C07134">
              <w:rPr>
                <w:rFonts w:ascii="Times New Roman" w:hAnsi="Times New Roman"/>
                <w:w w:val="99"/>
                <w:sz w:val="20"/>
                <w:szCs w:val="20"/>
                <w:u w:val="single"/>
              </w:rPr>
              <w:t xml:space="preserve"> </w:t>
            </w:r>
            <w:r w:rsidRPr="00C07134">
              <w:rPr>
                <w:rFonts w:ascii="Times New Roman" w:hAnsi="Times New Roman"/>
                <w:sz w:val="20"/>
                <w:szCs w:val="20"/>
                <w:u w:val="single"/>
              </w:rPr>
              <w:t xml:space="preserve"> </w:t>
            </w:r>
            <w:r w:rsidRPr="00C07134">
              <w:rPr>
                <w:rFonts w:ascii="Times New Roman" w:hAnsi="Times New Roman"/>
                <w:spacing w:val="1"/>
                <w:sz w:val="20"/>
                <w:szCs w:val="20"/>
                <w:u w:val="single"/>
              </w:rPr>
              <w:t xml:space="preserve"> </w:t>
            </w:r>
            <w:r w:rsidRPr="00C07134">
              <w:rPr>
                <w:rFonts w:ascii="Times New Roman" w:hAnsi="Times New Roman"/>
                <w:sz w:val="20"/>
                <w:szCs w:val="20"/>
                <w:u w:val="single"/>
              </w:rPr>
              <w:t>5.0%</w:t>
            </w:r>
          </w:p>
        </w:tc>
        <w:tc>
          <w:tcPr>
            <w:tcW w:w="3559" w:type="dxa"/>
            <w:tcBorders>
              <w:top w:val="nil"/>
              <w:left w:val="nil"/>
              <w:bottom w:val="nil"/>
              <w:right w:val="single" w:sz="11" w:space="0" w:color="000000"/>
            </w:tcBorders>
          </w:tcPr>
          <w:p w14:paraId="258C2260" w14:textId="77777777" w:rsidR="00C07134" w:rsidRPr="00C07134" w:rsidRDefault="00C07134" w:rsidP="00C07134">
            <w:pPr>
              <w:kinsoku w:val="0"/>
              <w:overflowPunct w:val="0"/>
              <w:autoSpaceDE w:val="0"/>
              <w:autoSpaceDN w:val="0"/>
              <w:adjustRightInd w:val="0"/>
              <w:spacing w:after="0" w:line="219" w:lineRule="exact"/>
              <w:ind w:right="323"/>
              <w:jc w:val="center"/>
              <w:rPr>
                <w:rFonts w:ascii="Times New Roman" w:hAnsi="Times New Roman"/>
                <w:sz w:val="24"/>
                <w:szCs w:val="24"/>
              </w:rPr>
            </w:pPr>
            <w:r w:rsidRPr="00C07134">
              <w:rPr>
                <w:rFonts w:ascii="Times New Roman" w:hAnsi="Times New Roman"/>
                <w:sz w:val="20"/>
                <w:szCs w:val="20"/>
              </w:rPr>
              <w:t>1.5%</w:t>
            </w:r>
          </w:p>
        </w:tc>
      </w:tr>
      <w:tr w:rsidR="00C07134" w:rsidRPr="00C07134" w14:paraId="754901D7" w14:textId="77777777">
        <w:trPr>
          <w:trHeight w:hRule="exact" w:val="327"/>
        </w:trPr>
        <w:tc>
          <w:tcPr>
            <w:tcW w:w="3334" w:type="dxa"/>
            <w:tcBorders>
              <w:top w:val="nil"/>
              <w:left w:val="single" w:sz="11" w:space="0" w:color="000000"/>
              <w:bottom w:val="single" w:sz="11" w:space="0" w:color="000000"/>
              <w:right w:val="nil"/>
            </w:tcBorders>
          </w:tcPr>
          <w:p w14:paraId="491F09CE" w14:textId="77777777" w:rsidR="00C07134" w:rsidRPr="00C07134" w:rsidRDefault="00C07134" w:rsidP="00C07134">
            <w:pPr>
              <w:kinsoku w:val="0"/>
              <w:overflowPunct w:val="0"/>
              <w:autoSpaceDE w:val="0"/>
              <w:autoSpaceDN w:val="0"/>
              <w:adjustRightInd w:val="0"/>
              <w:spacing w:after="0" w:line="219" w:lineRule="exact"/>
              <w:ind w:left="583"/>
              <w:rPr>
                <w:rFonts w:ascii="Times New Roman" w:hAnsi="Times New Roman"/>
                <w:sz w:val="24"/>
                <w:szCs w:val="24"/>
              </w:rPr>
            </w:pPr>
            <w:r w:rsidRPr="00C07134">
              <w:rPr>
                <w:rFonts w:ascii="Times New Roman" w:hAnsi="Times New Roman"/>
                <w:sz w:val="20"/>
                <w:szCs w:val="20"/>
              </w:rPr>
              <w:t>Total</w:t>
            </w:r>
          </w:p>
        </w:tc>
        <w:tc>
          <w:tcPr>
            <w:tcW w:w="2385" w:type="dxa"/>
            <w:tcBorders>
              <w:top w:val="nil"/>
              <w:left w:val="nil"/>
              <w:bottom w:val="single" w:sz="11" w:space="0" w:color="000000"/>
              <w:right w:val="nil"/>
            </w:tcBorders>
          </w:tcPr>
          <w:p w14:paraId="46C7FA27" w14:textId="77777777" w:rsidR="00C07134" w:rsidRPr="00C07134" w:rsidRDefault="00C07134" w:rsidP="00C07134">
            <w:pPr>
              <w:kinsoku w:val="0"/>
              <w:overflowPunct w:val="0"/>
              <w:autoSpaceDE w:val="0"/>
              <w:autoSpaceDN w:val="0"/>
              <w:adjustRightInd w:val="0"/>
              <w:spacing w:after="0" w:line="219" w:lineRule="exact"/>
              <w:ind w:right="150"/>
              <w:jc w:val="center"/>
              <w:rPr>
                <w:rFonts w:ascii="Times New Roman" w:hAnsi="Times New Roman"/>
                <w:sz w:val="24"/>
                <w:szCs w:val="24"/>
              </w:rPr>
            </w:pPr>
            <w:r w:rsidRPr="00C07134">
              <w:rPr>
                <w:rFonts w:ascii="Times New Roman" w:hAnsi="Times New Roman"/>
                <w:sz w:val="20"/>
                <w:szCs w:val="20"/>
              </w:rPr>
              <w:t>100.0%</w:t>
            </w:r>
          </w:p>
        </w:tc>
        <w:tc>
          <w:tcPr>
            <w:tcW w:w="3559" w:type="dxa"/>
            <w:tcBorders>
              <w:top w:val="nil"/>
              <w:left w:val="nil"/>
              <w:bottom w:val="single" w:sz="11" w:space="0" w:color="000000"/>
              <w:right w:val="single" w:sz="11" w:space="0" w:color="000000"/>
            </w:tcBorders>
          </w:tcPr>
          <w:p w14:paraId="00D48D9A" w14:textId="77777777" w:rsidR="00C07134" w:rsidRPr="00C07134" w:rsidRDefault="00C07134" w:rsidP="00C07134">
            <w:pPr>
              <w:autoSpaceDE w:val="0"/>
              <w:autoSpaceDN w:val="0"/>
              <w:adjustRightInd w:val="0"/>
              <w:spacing w:after="0" w:line="240" w:lineRule="auto"/>
              <w:rPr>
                <w:rFonts w:ascii="Times New Roman" w:hAnsi="Times New Roman"/>
                <w:sz w:val="24"/>
                <w:szCs w:val="24"/>
              </w:rPr>
            </w:pPr>
          </w:p>
        </w:tc>
      </w:tr>
    </w:tbl>
    <w:p w14:paraId="5F8FBBED" w14:textId="77777777" w:rsidR="00C07134" w:rsidRPr="0055419F" w:rsidRDefault="00C07134" w:rsidP="00664870">
      <w:pPr>
        <w:autoSpaceDE w:val="0"/>
        <w:autoSpaceDN w:val="0"/>
        <w:adjustRightInd w:val="0"/>
        <w:spacing w:after="0" w:line="240" w:lineRule="auto"/>
        <w:jc w:val="both"/>
        <w:rPr>
          <w:rFonts w:ascii="Times New Roman" w:hAnsi="Times New Roman"/>
          <w:sz w:val="20"/>
          <w:szCs w:val="20"/>
        </w:rPr>
      </w:pPr>
    </w:p>
    <w:p w14:paraId="063D7758" w14:textId="7CE61D81" w:rsidR="00954E0C" w:rsidRPr="0055419F" w:rsidRDefault="00954E0C" w:rsidP="00664870">
      <w:pPr>
        <w:autoSpaceDE w:val="0"/>
        <w:autoSpaceDN w:val="0"/>
        <w:adjustRightInd w:val="0"/>
        <w:spacing w:after="0" w:line="240" w:lineRule="auto"/>
        <w:jc w:val="both"/>
        <w:rPr>
          <w:rFonts w:ascii="Times New Roman" w:hAnsi="Times New Roman"/>
          <w:sz w:val="20"/>
          <w:szCs w:val="20"/>
        </w:rPr>
      </w:pPr>
      <w:r w:rsidRPr="0055419F">
        <w:rPr>
          <w:rFonts w:ascii="Times New Roman" w:hAnsi="Times New Roman"/>
          <w:spacing w:val="-1"/>
          <w:sz w:val="20"/>
          <w:szCs w:val="20"/>
        </w:rPr>
        <w:t>*</w:t>
      </w:r>
      <w:r w:rsidRPr="0055419F">
        <w:rPr>
          <w:rFonts w:ascii="Times New Roman" w:hAnsi="Times New Roman"/>
          <w:sz w:val="20"/>
          <w:szCs w:val="20"/>
        </w:rPr>
        <w:t>Inc</w:t>
      </w:r>
      <w:r w:rsidRPr="0055419F">
        <w:rPr>
          <w:rFonts w:ascii="Times New Roman" w:hAnsi="Times New Roman"/>
          <w:spacing w:val="-1"/>
          <w:sz w:val="20"/>
          <w:szCs w:val="20"/>
        </w:rPr>
        <w:t>l</w:t>
      </w:r>
      <w:r w:rsidRPr="0055419F">
        <w:rPr>
          <w:rFonts w:ascii="Times New Roman" w:hAnsi="Times New Roman"/>
          <w:spacing w:val="2"/>
          <w:sz w:val="20"/>
          <w:szCs w:val="20"/>
        </w:rPr>
        <w:t>u</w:t>
      </w:r>
      <w:r w:rsidRPr="0055419F">
        <w:rPr>
          <w:rFonts w:ascii="Times New Roman" w:hAnsi="Times New Roman"/>
          <w:sz w:val="20"/>
          <w:szCs w:val="20"/>
        </w:rPr>
        <w:t>d</w:t>
      </w:r>
      <w:r w:rsidRPr="0055419F">
        <w:rPr>
          <w:rFonts w:ascii="Times New Roman" w:hAnsi="Times New Roman"/>
          <w:spacing w:val="-1"/>
          <w:sz w:val="20"/>
          <w:szCs w:val="20"/>
        </w:rPr>
        <w:t>e</w:t>
      </w:r>
      <w:r w:rsidRPr="0055419F">
        <w:rPr>
          <w:rFonts w:ascii="Times New Roman" w:hAnsi="Times New Roman"/>
          <w:sz w:val="20"/>
          <w:szCs w:val="20"/>
        </w:rPr>
        <w:t>s</w:t>
      </w:r>
      <w:r w:rsidRPr="0055419F">
        <w:rPr>
          <w:rFonts w:ascii="Times New Roman" w:hAnsi="Times New Roman"/>
          <w:spacing w:val="-7"/>
          <w:sz w:val="20"/>
          <w:szCs w:val="20"/>
        </w:rPr>
        <w:t xml:space="preserve"> </w:t>
      </w:r>
      <w:r w:rsidRPr="0055419F">
        <w:rPr>
          <w:rFonts w:ascii="Times New Roman" w:hAnsi="Times New Roman"/>
          <w:sz w:val="20"/>
          <w:szCs w:val="20"/>
        </w:rPr>
        <w:t>as</w:t>
      </w:r>
      <w:r w:rsidRPr="0055419F">
        <w:rPr>
          <w:rFonts w:ascii="Times New Roman" w:hAnsi="Times New Roman"/>
          <w:spacing w:val="1"/>
          <w:sz w:val="20"/>
          <w:szCs w:val="20"/>
        </w:rPr>
        <w:t>s</w:t>
      </w:r>
      <w:r w:rsidRPr="0055419F">
        <w:rPr>
          <w:rFonts w:ascii="Times New Roman" w:hAnsi="Times New Roman"/>
          <w:sz w:val="20"/>
          <w:szCs w:val="20"/>
        </w:rPr>
        <w:t>u</w:t>
      </w:r>
      <w:r w:rsidRPr="0055419F">
        <w:rPr>
          <w:rFonts w:ascii="Times New Roman" w:hAnsi="Times New Roman"/>
          <w:spacing w:val="4"/>
          <w:sz w:val="20"/>
          <w:szCs w:val="20"/>
        </w:rPr>
        <w:t>m</w:t>
      </w:r>
      <w:r w:rsidRPr="0055419F">
        <w:rPr>
          <w:rFonts w:ascii="Times New Roman" w:hAnsi="Times New Roman"/>
          <w:sz w:val="20"/>
          <w:szCs w:val="20"/>
        </w:rPr>
        <w:t>ed</w:t>
      </w:r>
      <w:r w:rsidRPr="0055419F">
        <w:rPr>
          <w:rFonts w:ascii="Times New Roman" w:hAnsi="Times New Roman"/>
          <w:spacing w:val="-9"/>
          <w:sz w:val="20"/>
          <w:szCs w:val="20"/>
        </w:rPr>
        <w:t xml:space="preserve"> </w:t>
      </w:r>
      <w:r w:rsidRPr="0055419F">
        <w:rPr>
          <w:rFonts w:ascii="Times New Roman" w:hAnsi="Times New Roman"/>
          <w:sz w:val="20"/>
          <w:szCs w:val="20"/>
        </w:rPr>
        <w:t>rate</w:t>
      </w:r>
      <w:r w:rsidRPr="0055419F">
        <w:rPr>
          <w:rFonts w:ascii="Times New Roman" w:hAnsi="Times New Roman"/>
          <w:spacing w:val="-4"/>
          <w:sz w:val="20"/>
          <w:szCs w:val="20"/>
        </w:rPr>
        <w:t xml:space="preserve"> </w:t>
      </w:r>
      <w:r w:rsidRPr="0055419F">
        <w:rPr>
          <w:rFonts w:ascii="Times New Roman" w:hAnsi="Times New Roman"/>
          <w:sz w:val="20"/>
          <w:szCs w:val="20"/>
        </w:rPr>
        <w:t>of</w:t>
      </w:r>
      <w:r w:rsidRPr="0055419F">
        <w:rPr>
          <w:rFonts w:ascii="Times New Roman" w:hAnsi="Times New Roman"/>
          <w:spacing w:val="-1"/>
          <w:sz w:val="20"/>
          <w:szCs w:val="20"/>
        </w:rPr>
        <w:t xml:space="preserve"> </w:t>
      </w:r>
      <w:r w:rsidRPr="0055419F">
        <w:rPr>
          <w:rFonts w:ascii="Times New Roman" w:hAnsi="Times New Roman"/>
          <w:spacing w:val="1"/>
          <w:sz w:val="20"/>
          <w:szCs w:val="20"/>
        </w:rPr>
        <w:t>i</w:t>
      </w:r>
      <w:r w:rsidRPr="0055419F">
        <w:rPr>
          <w:rFonts w:ascii="Times New Roman" w:hAnsi="Times New Roman"/>
          <w:sz w:val="20"/>
          <w:szCs w:val="20"/>
        </w:rPr>
        <w:t>n</w:t>
      </w:r>
      <w:r w:rsidRPr="0055419F">
        <w:rPr>
          <w:rFonts w:ascii="Times New Roman" w:hAnsi="Times New Roman"/>
          <w:spacing w:val="2"/>
          <w:sz w:val="20"/>
          <w:szCs w:val="20"/>
        </w:rPr>
        <w:t>f</w:t>
      </w:r>
      <w:r w:rsidRPr="0055419F">
        <w:rPr>
          <w:rFonts w:ascii="Times New Roman" w:hAnsi="Times New Roman"/>
          <w:spacing w:val="-1"/>
          <w:sz w:val="20"/>
          <w:szCs w:val="20"/>
        </w:rPr>
        <w:t>l</w:t>
      </w:r>
      <w:r w:rsidRPr="0055419F">
        <w:rPr>
          <w:rFonts w:ascii="Times New Roman" w:hAnsi="Times New Roman"/>
          <w:sz w:val="20"/>
          <w:szCs w:val="20"/>
        </w:rPr>
        <w:t>at</w:t>
      </w:r>
      <w:r w:rsidRPr="0055419F">
        <w:rPr>
          <w:rFonts w:ascii="Times New Roman" w:hAnsi="Times New Roman"/>
          <w:spacing w:val="-2"/>
          <w:sz w:val="20"/>
          <w:szCs w:val="20"/>
        </w:rPr>
        <w:t>i</w:t>
      </w:r>
      <w:r w:rsidRPr="0055419F">
        <w:rPr>
          <w:rFonts w:ascii="Times New Roman" w:hAnsi="Times New Roman"/>
          <w:spacing w:val="2"/>
          <w:sz w:val="20"/>
          <w:szCs w:val="20"/>
        </w:rPr>
        <w:t>o</w:t>
      </w:r>
      <w:r w:rsidRPr="0055419F">
        <w:rPr>
          <w:rFonts w:ascii="Times New Roman" w:hAnsi="Times New Roman"/>
          <w:sz w:val="20"/>
          <w:szCs w:val="20"/>
        </w:rPr>
        <w:t>n</w:t>
      </w:r>
      <w:r w:rsidRPr="0055419F">
        <w:rPr>
          <w:rFonts w:ascii="Times New Roman" w:hAnsi="Times New Roman"/>
          <w:spacing w:val="-7"/>
          <w:sz w:val="20"/>
          <w:szCs w:val="20"/>
        </w:rPr>
        <w:t xml:space="preserve"> </w:t>
      </w:r>
      <w:r w:rsidRPr="0055419F">
        <w:rPr>
          <w:rFonts w:ascii="Times New Roman" w:hAnsi="Times New Roman"/>
          <w:spacing w:val="-1"/>
          <w:sz w:val="20"/>
          <w:szCs w:val="20"/>
        </w:rPr>
        <w:t>o</w:t>
      </w:r>
      <w:r w:rsidRPr="0055419F">
        <w:rPr>
          <w:rFonts w:ascii="Times New Roman" w:hAnsi="Times New Roman"/>
          <w:sz w:val="20"/>
          <w:szCs w:val="20"/>
        </w:rPr>
        <w:t>f 2</w:t>
      </w:r>
      <w:r w:rsidRPr="0055419F">
        <w:rPr>
          <w:rFonts w:ascii="Times New Roman" w:hAnsi="Times New Roman"/>
          <w:spacing w:val="-1"/>
          <w:sz w:val="20"/>
          <w:szCs w:val="20"/>
        </w:rPr>
        <w:t>.</w:t>
      </w:r>
      <w:r w:rsidR="0056508D">
        <w:rPr>
          <w:rFonts w:ascii="Times New Roman" w:hAnsi="Times New Roman"/>
          <w:spacing w:val="2"/>
          <w:sz w:val="20"/>
          <w:szCs w:val="20"/>
        </w:rPr>
        <w:t>0</w:t>
      </w:r>
      <w:r w:rsidRPr="0055419F">
        <w:rPr>
          <w:rFonts w:ascii="Times New Roman" w:hAnsi="Times New Roman"/>
          <w:sz w:val="20"/>
          <w:szCs w:val="20"/>
        </w:rPr>
        <w:t>0%.</w:t>
      </w:r>
    </w:p>
    <w:p w14:paraId="7F1823FC"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color w:val="2B2A29"/>
          <w:spacing w:val="-2"/>
          <w:sz w:val="20"/>
          <w:szCs w:val="20"/>
        </w:rPr>
      </w:pPr>
    </w:p>
    <w:p w14:paraId="5C298384" w14:textId="77777777" w:rsidR="00BA0E5F" w:rsidRPr="0055419F" w:rsidRDefault="005C5C7B" w:rsidP="00664870">
      <w:pPr>
        <w:widowControl w:val="0"/>
        <w:autoSpaceDE w:val="0"/>
        <w:autoSpaceDN w:val="0"/>
        <w:adjustRightInd w:val="0"/>
        <w:spacing w:after="0" w:line="240" w:lineRule="auto"/>
        <w:jc w:val="both"/>
        <w:rPr>
          <w:rFonts w:ascii="Times New Roman" w:hAnsi="Times New Roman"/>
          <w:b/>
          <w:i/>
          <w:sz w:val="20"/>
          <w:szCs w:val="20"/>
        </w:rPr>
      </w:pPr>
      <w:r w:rsidRPr="0055419F">
        <w:rPr>
          <w:rFonts w:ascii="Times New Roman" w:hAnsi="Times New Roman"/>
          <w:b/>
          <w:i/>
          <w:sz w:val="20"/>
          <w:szCs w:val="20"/>
        </w:rPr>
        <w:t>Discount Rate</w:t>
      </w:r>
    </w:p>
    <w:p w14:paraId="3FA73A4B"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sz w:val="20"/>
          <w:szCs w:val="20"/>
        </w:rPr>
      </w:pPr>
    </w:p>
    <w:p w14:paraId="0D7412D6" w14:textId="2AF12569" w:rsidR="00A26B59" w:rsidRPr="0055419F" w:rsidRDefault="00192305" w:rsidP="00664870">
      <w:pPr>
        <w:widowControl w:val="0"/>
        <w:autoSpaceDE w:val="0"/>
        <w:autoSpaceDN w:val="0"/>
        <w:adjustRightInd w:val="0"/>
        <w:spacing w:after="0" w:line="240" w:lineRule="auto"/>
        <w:jc w:val="both"/>
        <w:rPr>
          <w:rFonts w:ascii="Times New Roman" w:hAnsi="Times New Roman"/>
          <w:color w:val="2B2A29"/>
          <w:spacing w:val="-2"/>
          <w:sz w:val="20"/>
          <w:szCs w:val="20"/>
        </w:rPr>
      </w:pPr>
      <w:r w:rsidRPr="0055419F">
        <w:rPr>
          <w:rFonts w:ascii="Times New Roman" w:hAnsi="Times New Roman"/>
          <w:sz w:val="20"/>
          <w:szCs w:val="20"/>
        </w:rPr>
        <w:t xml:space="preserve">The discount rate used to measure the </w:t>
      </w:r>
      <w:r w:rsidR="004F32ED">
        <w:rPr>
          <w:rFonts w:ascii="Times New Roman" w:hAnsi="Times New Roman"/>
          <w:sz w:val="20"/>
          <w:szCs w:val="20"/>
        </w:rPr>
        <w:t>total pension liability was 7.</w:t>
      </w:r>
      <w:r w:rsidR="00C07134">
        <w:rPr>
          <w:rFonts w:ascii="Times New Roman" w:hAnsi="Times New Roman"/>
          <w:sz w:val="20"/>
          <w:szCs w:val="20"/>
        </w:rPr>
        <w:t>40</w:t>
      </w:r>
      <w:r w:rsidRPr="0055419F">
        <w:rPr>
          <w:rFonts w:ascii="Times New Roman" w:hAnsi="Times New Roman"/>
          <w:sz w:val="20"/>
          <w:szCs w:val="20"/>
        </w:rPr>
        <w:t>%. The projection of cash flows used to determine the discount rate assumed that plan member contributions will be made at the current contribution rate and that employer contributions will be made at rates equal to the difference between actuarially determined contribution rates and the member rate. Based on those assumptions, components of the pension plan’s fiduciary net position were projected to be available to make all projected future benefit payments of current plan members. Therefore, the long-term expected rate of return on pension plan investments was applied to all periods of projected benefit payments to determine the total pension liability.</w:t>
      </w:r>
    </w:p>
    <w:p w14:paraId="39034913"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bookmarkStart w:id="6" w:name="Pg237"/>
      <w:bookmarkEnd w:id="6"/>
    </w:p>
    <w:p w14:paraId="4E17339F" w14:textId="29BA03DD" w:rsidR="005C5C7B" w:rsidRPr="0055419F" w:rsidRDefault="005A2583" w:rsidP="00664870">
      <w:pPr>
        <w:widowControl w:val="0"/>
        <w:autoSpaceDE w:val="0"/>
        <w:autoSpaceDN w:val="0"/>
        <w:adjustRightInd w:val="0"/>
        <w:spacing w:after="0" w:line="240" w:lineRule="auto"/>
        <w:jc w:val="both"/>
        <w:rPr>
          <w:rFonts w:ascii="Times New Roman" w:hAnsi="Times New Roman"/>
          <w:b/>
          <w:i/>
          <w:color w:val="2B2A29"/>
          <w:sz w:val="20"/>
          <w:szCs w:val="20"/>
        </w:rPr>
      </w:pPr>
      <w:r>
        <w:rPr>
          <w:rFonts w:ascii="Times New Roman" w:hAnsi="Times New Roman"/>
          <w:b/>
          <w:i/>
          <w:color w:val="2B2A29"/>
          <w:sz w:val="20"/>
          <w:szCs w:val="20"/>
        </w:rPr>
        <w:t>Pension Plan Fiduciary Net P</w:t>
      </w:r>
      <w:r w:rsidR="00A6437C" w:rsidRPr="0055419F">
        <w:rPr>
          <w:rFonts w:ascii="Times New Roman" w:hAnsi="Times New Roman"/>
          <w:b/>
          <w:i/>
          <w:color w:val="2B2A29"/>
          <w:sz w:val="20"/>
          <w:szCs w:val="20"/>
        </w:rPr>
        <w:t>osition</w:t>
      </w:r>
    </w:p>
    <w:p w14:paraId="6B242CCE" w14:textId="77777777" w:rsidR="00A6437C" w:rsidRPr="0055419F" w:rsidRDefault="00A6437C" w:rsidP="00664870">
      <w:pPr>
        <w:widowControl w:val="0"/>
        <w:autoSpaceDE w:val="0"/>
        <w:autoSpaceDN w:val="0"/>
        <w:adjustRightInd w:val="0"/>
        <w:spacing w:after="0" w:line="240" w:lineRule="auto"/>
        <w:jc w:val="both"/>
        <w:rPr>
          <w:rFonts w:ascii="Times New Roman" w:hAnsi="Times New Roman"/>
          <w:color w:val="2B2A29"/>
          <w:sz w:val="20"/>
          <w:szCs w:val="20"/>
        </w:rPr>
      </w:pPr>
    </w:p>
    <w:p w14:paraId="65D7D711" w14:textId="25289169" w:rsidR="00A6437C" w:rsidRPr="0055419F" w:rsidRDefault="00A6437C"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 xml:space="preserve">Detailed information about the pension plan’s fiduciary net position is available in the separately issued RSA </w:t>
      </w:r>
      <w:r w:rsidR="0056508D">
        <w:rPr>
          <w:rFonts w:ascii="Times New Roman" w:hAnsi="Times New Roman"/>
          <w:color w:val="2B2A29"/>
          <w:sz w:val="20"/>
          <w:szCs w:val="20"/>
        </w:rPr>
        <w:t xml:space="preserve">Annual </w:t>
      </w:r>
      <w:r w:rsidRPr="0055419F">
        <w:rPr>
          <w:rFonts w:ascii="Times New Roman" w:hAnsi="Times New Roman"/>
          <w:color w:val="2B2A29"/>
          <w:sz w:val="20"/>
          <w:szCs w:val="20"/>
        </w:rPr>
        <w:t>Comprehensive Financial Report for the fisc</w:t>
      </w:r>
      <w:r w:rsidR="00FB5907" w:rsidRPr="0055419F">
        <w:rPr>
          <w:rFonts w:ascii="Times New Roman" w:hAnsi="Times New Roman"/>
          <w:color w:val="2B2A29"/>
          <w:sz w:val="20"/>
          <w:szCs w:val="20"/>
        </w:rPr>
        <w:t xml:space="preserve">al year ended </w:t>
      </w:r>
      <w:r w:rsidR="00BA5852" w:rsidRPr="0055419F">
        <w:rPr>
          <w:rFonts w:ascii="Times New Roman" w:hAnsi="Times New Roman"/>
          <w:color w:val="2B2A29"/>
          <w:sz w:val="20"/>
          <w:szCs w:val="20"/>
        </w:rPr>
        <w:t>September 30,</w:t>
      </w:r>
      <w:r w:rsidR="004F32ED">
        <w:rPr>
          <w:rFonts w:ascii="Times New Roman" w:hAnsi="Times New Roman"/>
          <w:color w:val="2B2A29"/>
          <w:sz w:val="20"/>
          <w:szCs w:val="20"/>
        </w:rPr>
        <w:t xml:space="preserve"> 20</w:t>
      </w:r>
      <w:r w:rsidR="00115A0B">
        <w:rPr>
          <w:rFonts w:ascii="Times New Roman" w:hAnsi="Times New Roman"/>
          <w:color w:val="2B2A29"/>
          <w:sz w:val="20"/>
          <w:szCs w:val="20"/>
        </w:rPr>
        <w:t>2</w:t>
      </w:r>
      <w:r w:rsidR="0094499B">
        <w:rPr>
          <w:rFonts w:ascii="Times New Roman" w:hAnsi="Times New Roman"/>
          <w:color w:val="2B2A29"/>
          <w:sz w:val="20"/>
          <w:szCs w:val="20"/>
        </w:rPr>
        <w:t>2</w:t>
      </w:r>
      <w:r w:rsidRPr="0055419F">
        <w:rPr>
          <w:rFonts w:ascii="Times New Roman" w:hAnsi="Times New Roman"/>
          <w:color w:val="2B2A29"/>
          <w:sz w:val="20"/>
          <w:szCs w:val="20"/>
        </w:rPr>
        <w:t>. The supporting actuarial information is included in the GASB Statement No. 67 for the JRF p</w:t>
      </w:r>
      <w:r w:rsidR="00BA5852" w:rsidRPr="0055419F">
        <w:rPr>
          <w:rFonts w:ascii="Times New Roman" w:hAnsi="Times New Roman"/>
          <w:color w:val="2B2A29"/>
          <w:sz w:val="20"/>
          <w:szCs w:val="20"/>
        </w:rPr>
        <w:t>repared as of September 30,</w:t>
      </w:r>
      <w:r w:rsidR="004F32ED">
        <w:rPr>
          <w:rFonts w:ascii="Times New Roman" w:hAnsi="Times New Roman"/>
          <w:color w:val="2B2A29"/>
          <w:sz w:val="20"/>
          <w:szCs w:val="20"/>
        </w:rPr>
        <w:t xml:space="preserve"> 20</w:t>
      </w:r>
      <w:r w:rsidR="00115A0B">
        <w:rPr>
          <w:rFonts w:ascii="Times New Roman" w:hAnsi="Times New Roman"/>
          <w:color w:val="2B2A29"/>
          <w:sz w:val="20"/>
          <w:szCs w:val="20"/>
        </w:rPr>
        <w:t>2</w:t>
      </w:r>
      <w:r w:rsidR="0094499B">
        <w:rPr>
          <w:rFonts w:ascii="Times New Roman" w:hAnsi="Times New Roman"/>
          <w:color w:val="2B2A29"/>
          <w:sz w:val="20"/>
          <w:szCs w:val="20"/>
        </w:rPr>
        <w:t>2</w:t>
      </w:r>
      <w:r w:rsidRPr="0055419F">
        <w:rPr>
          <w:rFonts w:ascii="Times New Roman" w:hAnsi="Times New Roman"/>
          <w:color w:val="2B2A29"/>
          <w:sz w:val="20"/>
          <w:szCs w:val="20"/>
        </w:rPr>
        <w:t xml:space="preserve">. </w:t>
      </w:r>
      <w:r w:rsidRPr="004057D2">
        <w:rPr>
          <w:rFonts w:ascii="Times New Roman" w:hAnsi="Times New Roman"/>
          <w:color w:val="2B2A29"/>
          <w:sz w:val="20"/>
          <w:szCs w:val="20"/>
        </w:rPr>
        <w:t>The a</w:t>
      </w:r>
      <w:r w:rsidR="00FB5907" w:rsidRPr="004057D2">
        <w:rPr>
          <w:rFonts w:ascii="Times New Roman" w:hAnsi="Times New Roman"/>
          <w:color w:val="2B2A29"/>
          <w:sz w:val="20"/>
          <w:szCs w:val="20"/>
        </w:rPr>
        <w:t xml:space="preserve">uditor’s report </w:t>
      </w:r>
      <w:r w:rsidR="004057D2">
        <w:rPr>
          <w:rFonts w:ascii="Times New Roman" w:hAnsi="Times New Roman"/>
          <w:color w:val="2B2A29"/>
          <w:sz w:val="20"/>
          <w:szCs w:val="20"/>
        </w:rPr>
        <w:t>on</w:t>
      </w:r>
      <w:r w:rsidR="003C6D19">
        <w:rPr>
          <w:rFonts w:ascii="Times New Roman" w:hAnsi="Times New Roman"/>
          <w:color w:val="2B2A29"/>
          <w:sz w:val="20"/>
          <w:szCs w:val="20"/>
        </w:rPr>
        <w:t xml:space="preserve"> the Schedule of Employer Allocations and Pension Amounts by Employer and accompanying notes detail by employer and in aggregate additional information needed to comply with GASB 68.</w:t>
      </w:r>
      <w:r w:rsidR="004057D2">
        <w:rPr>
          <w:rFonts w:ascii="Times New Roman" w:hAnsi="Times New Roman"/>
          <w:color w:val="2B2A29"/>
          <w:sz w:val="20"/>
          <w:szCs w:val="20"/>
        </w:rPr>
        <w:t xml:space="preserve"> </w:t>
      </w:r>
      <w:r w:rsidRPr="004F32ED">
        <w:rPr>
          <w:rFonts w:ascii="Times New Roman" w:hAnsi="Times New Roman"/>
          <w:color w:val="2B2A29"/>
          <w:sz w:val="20"/>
          <w:szCs w:val="20"/>
        </w:rPr>
        <w:t xml:space="preserve">The additional financial and actuarial information is available at </w:t>
      </w:r>
      <w:hyperlink r:id="rId9" w:history="1">
        <w:r w:rsidR="00BA5852" w:rsidRPr="004F32ED">
          <w:rPr>
            <w:rStyle w:val="Hyperlink"/>
            <w:rFonts w:ascii="Times New Roman" w:hAnsi="Times New Roman"/>
            <w:sz w:val="20"/>
            <w:szCs w:val="20"/>
          </w:rPr>
          <w:t>http://www.rsa-al.gov/index.php/employers/financial-reports/gasb-68-reports/</w:t>
        </w:r>
      </w:hyperlink>
      <w:r w:rsidRPr="004F32ED">
        <w:rPr>
          <w:rFonts w:ascii="Times New Roman" w:hAnsi="Times New Roman"/>
          <w:color w:val="2B2A29"/>
          <w:sz w:val="20"/>
          <w:szCs w:val="20"/>
        </w:rPr>
        <w:t>.</w:t>
      </w:r>
      <w:r w:rsidRPr="0055419F">
        <w:rPr>
          <w:rFonts w:ascii="Times New Roman" w:hAnsi="Times New Roman"/>
          <w:color w:val="2B2A29"/>
          <w:sz w:val="20"/>
          <w:szCs w:val="20"/>
        </w:rPr>
        <w:t xml:space="preserve">  </w:t>
      </w:r>
    </w:p>
    <w:p w14:paraId="2A48725A" w14:textId="77777777" w:rsidR="001F24D7" w:rsidRDefault="001F24D7" w:rsidP="00664870">
      <w:pPr>
        <w:widowControl w:val="0"/>
        <w:autoSpaceDE w:val="0"/>
        <w:autoSpaceDN w:val="0"/>
        <w:adjustRightInd w:val="0"/>
        <w:spacing w:after="0" w:line="240" w:lineRule="auto"/>
        <w:jc w:val="center"/>
        <w:rPr>
          <w:rFonts w:ascii="Times New Roman" w:hAnsi="Times New Roman"/>
          <w:b/>
          <w:color w:val="2B2A29"/>
          <w:sz w:val="20"/>
          <w:szCs w:val="20"/>
        </w:rPr>
      </w:pPr>
    </w:p>
    <w:p w14:paraId="3CA14171" w14:textId="639A1C9C" w:rsidR="00083169" w:rsidRPr="0055419F" w:rsidRDefault="00083169"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Sample County</w:t>
      </w:r>
    </w:p>
    <w:p w14:paraId="11585BA1"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Required Supplementary Information</w:t>
      </w:r>
    </w:p>
    <w:p w14:paraId="05BFDF39"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Schedule of Proportionate Share of the Net Pension Liability</w:t>
      </w:r>
    </w:p>
    <w:p w14:paraId="2CE335DF"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Judicial Retirement Fund</w:t>
      </w:r>
    </w:p>
    <w:p w14:paraId="23966D47"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for the Year Ended September 30</w:t>
      </w:r>
    </w:p>
    <w:p w14:paraId="5CEAF849"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color w:val="2B2A29"/>
          <w:sz w:val="20"/>
          <w:szCs w:val="20"/>
        </w:rPr>
      </w:pPr>
      <w:r w:rsidRPr="0055419F">
        <w:rPr>
          <w:rFonts w:ascii="Times New Roman" w:hAnsi="Times New Roman"/>
          <w:color w:val="2B2A29"/>
          <w:sz w:val="20"/>
          <w:szCs w:val="20"/>
        </w:rPr>
        <w:t>(Dollar amounts in thousands)</w:t>
      </w:r>
    </w:p>
    <w:p w14:paraId="6B283E96" w14:textId="77777777" w:rsidR="0048430D" w:rsidRPr="0055419F" w:rsidRDefault="0048430D"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01F5E7BF" w14:textId="7E2CD6A9" w:rsidR="0048430D" w:rsidRPr="0055419F" w:rsidRDefault="003D02E1" w:rsidP="00E21B08">
      <w:pPr>
        <w:widowControl w:val="0"/>
        <w:autoSpaceDE w:val="0"/>
        <w:autoSpaceDN w:val="0"/>
        <w:adjustRightInd w:val="0"/>
        <w:spacing w:after="0" w:line="240" w:lineRule="auto"/>
        <w:jc w:val="right"/>
        <w:rPr>
          <w:rFonts w:ascii="Times New Roman" w:hAnsi="Times New Roman"/>
          <w:b/>
          <w:color w:val="2B2A29"/>
          <w:sz w:val="20"/>
          <w:szCs w:val="20"/>
          <w:u w:val="single"/>
        </w:rPr>
      </w:pPr>
      <w:r>
        <w:rPr>
          <w:rFonts w:ascii="Times New Roman" w:hAnsi="Times New Roman"/>
          <w:b/>
          <w:color w:val="2B2A29"/>
          <w:sz w:val="20"/>
          <w:szCs w:val="20"/>
          <w:u w:val="single"/>
        </w:rPr>
        <w:t>20</w:t>
      </w:r>
      <w:r w:rsidR="00A7777A">
        <w:rPr>
          <w:rFonts w:ascii="Times New Roman" w:hAnsi="Times New Roman"/>
          <w:b/>
          <w:color w:val="2B2A29"/>
          <w:sz w:val="20"/>
          <w:szCs w:val="20"/>
          <w:u w:val="single"/>
        </w:rPr>
        <w:t>2</w:t>
      </w:r>
      <w:r w:rsidR="0094499B">
        <w:rPr>
          <w:rFonts w:ascii="Times New Roman" w:hAnsi="Times New Roman"/>
          <w:b/>
          <w:color w:val="2B2A29"/>
          <w:sz w:val="20"/>
          <w:szCs w:val="20"/>
          <w:u w:val="single"/>
        </w:rPr>
        <w:t>3</w:t>
      </w:r>
    </w:p>
    <w:p w14:paraId="51C8498D"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u w:val="single"/>
        </w:rPr>
      </w:pPr>
    </w:p>
    <w:p w14:paraId="0BBA84CA" w14:textId="11B036EF"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Employer’s proportion of the net pension liability</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t xml:space="preserve"> </w:t>
      </w:r>
      <w:r w:rsidRPr="0055419F">
        <w:rPr>
          <w:rFonts w:ascii="Times New Roman" w:hAnsi="Times New Roman"/>
          <w:color w:val="2B2A29"/>
          <w:sz w:val="20"/>
          <w:szCs w:val="20"/>
        </w:rPr>
        <w:t>0.0%</w:t>
      </w:r>
    </w:p>
    <w:p w14:paraId="0D84E658"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3E8570D8" w14:textId="74D37247"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 xml:space="preserve">Employer’s proportionate share of the </w:t>
      </w:r>
      <w:r w:rsidR="00576279" w:rsidRPr="0055419F">
        <w:rPr>
          <w:rFonts w:ascii="Times New Roman" w:hAnsi="Times New Roman"/>
          <w:color w:val="2B2A29"/>
          <w:sz w:val="20"/>
          <w:szCs w:val="20"/>
        </w:rPr>
        <w:t xml:space="preserve">net pension liability </w:t>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Pr="0055419F">
        <w:rPr>
          <w:rFonts w:ascii="Times New Roman" w:hAnsi="Times New Roman"/>
          <w:color w:val="2B2A29"/>
          <w:sz w:val="20"/>
          <w:szCs w:val="20"/>
        </w:rPr>
        <w:t>$</w:t>
      </w:r>
      <w:r w:rsidR="007663EA">
        <w:rPr>
          <w:rFonts w:ascii="Times New Roman" w:hAnsi="Times New Roman"/>
          <w:color w:val="2B2A29"/>
          <w:sz w:val="20"/>
          <w:szCs w:val="20"/>
        </w:rPr>
        <w:t xml:space="preserve"> </w:t>
      </w:r>
      <w:r w:rsidRPr="0055419F">
        <w:rPr>
          <w:rFonts w:ascii="Times New Roman" w:hAnsi="Times New Roman"/>
          <w:color w:val="2B2A29"/>
          <w:sz w:val="20"/>
          <w:szCs w:val="20"/>
        </w:rPr>
        <w:t>0</w:t>
      </w:r>
    </w:p>
    <w:p w14:paraId="2046F51F" w14:textId="77777777"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rPr>
      </w:pPr>
    </w:p>
    <w:p w14:paraId="5D367A41" w14:textId="77777777" w:rsidR="007663EA" w:rsidRDefault="0048430D" w:rsidP="00E21B08">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State of Alabama’s proportionate share of the net pension liability</w:t>
      </w:r>
    </w:p>
    <w:p w14:paraId="0DFD0135" w14:textId="59493473" w:rsidR="0048430D" w:rsidRPr="0055419F" w:rsidRDefault="0048430D" w:rsidP="00E21B08">
      <w:pPr>
        <w:widowControl w:val="0"/>
        <w:autoSpaceDE w:val="0"/>
        <w:autoSpaceDN w:val="0"/>
        <w:adjustRightInd w:val="0"/>
        <w:spacing w:after="0" w:line="240" w:lineRule="auto"/>
        <w:ind w:left="80" w:firstLine="280"/>
        <w:jc w:val="both"/>
        <w:rPr>
          <w:rFonts w:ascii="Times New Roman" w:hAnsi="Times New Roman"/>
          <w:color w:val="2B2A29"/>
          <w:sz w:val="20"/>
          <w:szCs w:val="20"/>
          <w:u w:val="single"/>
        </w:rPr>
      </w:pPr>
      <w:r w:rsidRPr="0055419F">
        <w:rPr>
          <w:rFonts w:ascii="Times New Roman" w:hAnsi="Times New Roman"/>
          <w:color w:val="2B2A29"/>
          <w:sz w:val="20"/>
          <w:szCs w:val="20"/>
        </w:rPr>
        <w:t>associated with the Employer</w:t>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A64045" w:rsidRPr="0055419F">
        <w:rPr>
          <w:rFonts w:ascii="Times New Roman" w:hAnsi="Times New Roman"/>
          <w:color w:val="2B2A29"/>
          <w:sz w:val="20"/>
          <w:szCs w:val="20"/>
          <w:u w:val="single"/>
        </w:rPr>
        <w:t xml:space="preserve">$[See </w:t>
      </w:r>
      <w:r w:rsidR="00E10B6E" w:rsidRPr="0055419F">
        <w:rPr>
          <w:rFonts w:ascii="Times New Roman" w:hAnsi="Times New Roman"/>
          <w:color w:val="2B2A29"/>
          <w:sz w:val="20"/>
          <w:szCs w:val="20"/>
          <w:u w:val="single"/>
        </w:rPr>
        <w:t>Employer’s Valuation</w:t>
      </w:r>
      <w:r w:rsidR="00A64045" w:rsidRPr="0055419F">
        <w:rPr>
          <w:rFonts w:ascii="Times New Roman" w:hAnsi="Times New Roman"/>
          <w:color w:val="2B2A29"/>
          <w:sz w:val="20"/>
          <w:szCs w:val="20"/>
          <w:u w:val="single"/>
        </w:rPr>
        <w:t>]</w:t>
      </w:r>
    </w:p>
    <w:p w14:paraId="3E240FD1" w14:textId="77777777"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u w:val="single"/>
        </w:rPr>
      </w:pPr>
    </w:p>
    <w:p w14:paraId="087F9C4C" w14:textId="6086579E"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u w:val="thick"/>
        </w:rPr>
      </w:pPr>
      <w:r w:rsidRPr="0055419F">
        <w:rPr>
          <w:rFonts w:ascii="Times New Roman" w:hAnsi="Times New Roman"/>
          <w:color w:val="2B2A29"/>
          <w:sz w:val="20"/>
          <w:szCs w:val="20"/>
        </w:rPr>
        <w:t>Total</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Pr="007663EA">
        <w:rPr>
          <w:rFonts w:ascii="Times New Roman" w:hAnsi="Times New Roman"/>
          <w:color w:val="2B2A29"/>
          <w:sz w:val="20"/>
          <w:szCs w:val="20"/>
          <w:u w:val="single"/>
        </w:rPr>
        <w:t>$</w:t>
      </w:r>
      <w:r w:rsidR="00E10B6E" w:rsidRPr="007663EA">
        <w:rPr>
          <w:rFonts w:ascii="Times New Roman" w:hAnsi="Times New Roman"/>
          <w:color w:val="2B2A29"/>
          <w:sz w:val="20"/>
          <w:szCs w:val="20"/>
          <w:u w:val="single"/>
        </w:rPr>
        <w:t>[See Employer’s Valuation</w:t>
      </w:r>
      <w:r w:rsidR="00A64045" w:rsidRPr="007663EA">
        <w:rPr>
          <w:rFonts w:ascii="Times New Roman" w:hAnsi="Times New Roman"/>
          <w:color w:val="2B2A29"/>
          <w:sz w:val="20"/>
          <w:szCs w:val="20"/>
          <w:u w:val="single"/>
        </w:rPr>
        <w:t>]</w:t>
      </w:r>
    </w:p>
    <w:p w14:paraId="229BBB25" w14:textId="77777777" w:rsidR="00576279" w:rsidRPr="0055419F" w:rsidRDefault="00576279" w:rsidP="00664870">
      <w:pPr>
        <w:widowControl w:val="0"/>
        <w:autoSpaceDE w:val="0"/>
        <w:autoSpaceDN w:val="0"/>
        <w:adjustRightInd w:val="0"/>
        <w:spacing w:after="0" w:line="240" w:lineRule="auto"/>
        <w:jc w:val="both"/>
        <w:rPr>
          <w:rFonts w:ascii="Times New Roman" w:hAnsi="Times New Roman"/>
          <w:color w:val="2B2A29"/>
          <w:sz w:val="20"/>
          <w:szCs w:val="20"/>
          <w:u w:val="thick"/>
        </w:rPr>
      </w:pPr>
    </w:p>
    <w:p w14:paraId="4B67425F" w14:textId="0C687678"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u w:val="single"/>
        </w:rPr>
      </w:pPr>
      <w:r w:rsidRPr="0055419F">
        <w:rPr>
          <w:rFonts w:ascii="Times New Roman" w:hAnsi="Times New Roman"/>
          <w:color w:val="2B2A29"/>
          <w:sz w:val="20"/>
          <w:szCs w:val="20"/>
        </w:rPr>
        <w:t>Employer’s covered payroll</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E347AC">
        <w:rPr>
          <w:rFonts w:ascii="Times New Roman" w:hAnsi="Times New Roman"/>
          <w:color w:val="2B2A29"/>
          <w:sz w:val="20"/>
          <w:szCs w:val="20"/>
        </w:rPr>
        <w:t xml:space="preserve">                  </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Pr="0055419F">
        <w:rPr>
          <w:rFonts w:ascii="Times New Roman" w:hAnsi="Times New Roman"/>
          <w:color w:val="2B2A29"/>
          <w:sz w:val="20"/>
          <w:szCs w:val="20"/>
          <w:u w:val="single"/>
        </w:rPr>
        <w:t>$</w:t>
      </w:r>
      <w:r w:rsidR="00E10B6E" w:rsidRPr="0055419F">
        <w:rPr>
          <w:rFonts w:ascii="Times New Roman" w:hAnsi="Times New Roman"/>
          <w:color w:val="2B2A29"/>
          <w:sz w:val="20"/>
          <w:szCs w:val="20"/>
          <w:u w:val="single"/>
        </w:rPr>
        <w:t>[</w:t>
      </w:r>
      <w:r w:rsidR="00F36781" w:rsidRPr="0055419F">
        <w:rPr>
          <w:rFonts w:ascii="Times New Roman" w:hAnsi="Times New Roman"/>
          <w:color w:val="2B2A29"/>
          <w:sz w:val="20"/>
          <w:szCs w:val="20"/>
          <w:u w:val="single"/>
        </w:rPr>
        <w:t>Calculated by Employer</w:t>
      </w:r>
      <w:r w:rsidR="00A64045" w:rsidRPr="0055419F">
        <w:rPr>
          <w:rFonts w:ascii="Times New Roman" w:hAnsi="Times New Roman"/>
          <w:color w:val="2B2A29"/>
          <w:sz w:val="20"/>
          <w:szCs w:val="20"/>
          <w:u w:val="single"/>
        </w:rPr>
        <w:t>]</w:t>
      </w:r>
      <w:r w:rsidR="00A64045" w:rsidRPr="0055419F">
        <w:rPr>
          <w:rFonts w:ascii="Times New Roman" w:hAnsi="Times New Roman"/>
          <w:b/>
          <w:color w:val="2B2A29"/>
          <w:sz w:val="20"/>
          <w:szCs w:val="20"/>
        </w:rPr>
        <w:t>*</w:t>
      </w:r>
    </w:p>
    <w:p w14:paraId="536A1EBC" w14:textId="77777777" w:rsidR="00576279" w:rsidRPr="0055419F" w:rsidRDefault="00576279" w:rsidP="00664870">
      <w:pPr>
        <w:widowControl w:val="0"/>
        <w:autoSpaceDE w:val="0"/>
        <w:autoSpaceDN w:val="0"/>
        <w:adjustRightInd w:val="0"/>
        <w:spacing w:after="0" w:line="240" w:lineRule="auto"/>
        <w:jc w:val="both"/>
        <w:rPr>
          <w:rFonts w:ascii="Times New Roman" w:hAnsi="Times New Roman"/>
          <w:color w:val="2B2A29"/>
          <w:sz w:val="20"/>
          <w:szCs w:val="20"/>
          <w:u w:val="single"/>
        </w:rPr>
      </w:pPr>
    </w:p>
    <w:p w14:paraId="292A058A" w14:textId="77777777" w:rsidR="00576279" w:rsidRPr="0055419F" w:rsidRDefault="00576279"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Employer’s proportionate share of the net pension liability as a percentage of its covered</w:t>
      </w:r>
      <w:r w:rsidR="00CB1AAB">
        <w:rPr>
          <w:rFonts w:ascii="Times New Roman" w:hAnsi="Times New Roman"/>
          <w:color w:val="2B2A29"/>
          <w:sz w:val="20"/>
          <w:szCs w:val="20"/>
        </w:rPr>
        <w:t xml:space="preserve"> </w:t>
      </w:r>
      <w:r w:rsidRPr="0055419F">
        <w:rPr>
          <w:rFonts w:ascii="Times New Roman" w:hAnsi="Times New Roman"/>
          <w:color w:val="2B2A29"/>
          <w:sz w:val="20"/>
          <w:szCs w:val="20"/>
        </w:rPr>
        <w:t>employee payroll</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Pr="0055419F">
        <w:rPr>
          <w:rFonts w:ascii="Times New Roman" w:hAnsi="Times New Roman"/>
          <w:color w:val="2B2A29"/>
          <w:sz w:val="20"/>
          <w:szCs w:val="20"/>
        </w:rPr>
        <w:t>N/A</w:t>
      </w:r>
    </w:p>
    <w:p w14:paraId="4C23408B" w14:textId="77777777" w:rsidR="00576279" w:rsidRPr="0055419F" w:rsidRDefault="00576279" w:rsidP="00664870">
      <w:pPr>
        <w:widowControl w:val="0"/>
        <w:autoSpaceDE w:val="0"/>
        <w:autoSpaceDN w:val="0"/>
        <w:adjustRightInd w:val="0"/>
        <w:spacing w:after="0" w:line="240" w:lineRule="auto"/>
        <w:jc w:val="both"/>
        <w:rPr>
          <w:rFonts w:ascii="Times New Roman" w:hAnsi="Times New Roman"/>
          <w:color w:val="2B2A29"/>
          <w:sz w:val="20"/>
          <w:szCs w:val="20"/>
        </w:rPr>
      </w:pPr>
    </w:p>
    <w:p w14:paraId="7F700449" w14:textId="71724C4F" w:rsidR="00576279" w:rsidRPr="0055419F" w:rsidRDefault="00576279"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Plan fiduciary net position as a percentage of the total</w:t>
      </w:r>
      <w:r w:rsidR="00CB1AAB">
        <w:rPr>
          <w:rFonts w:ascii="Times New Roman" w:hAnsi="Times New Roman"/>
          <w:color w:val="2B2A29"/>
          <w:sz w:val="20"/>
          <w:szCs w:val="20"/>
        </w:rPr>
        <w:t xml:space="preserve"> </w:t>
      </w:r>
      <w:r w:rsidRPr="0055419F">
        <w:rPr>
          <w:rFonts w:ascii="Times New Roman" w:hAnsi="Times New Roman"/>
          <w:color w:val="2B2A29"/>
          <w:sz w:val="20"/>
          <w:szCs w:val="20"/>
        </w:rPr>
        <w:t>pension liability</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C07134" w:rsidRPr="00C07134">
        <w:rPr>
          <w:rFonts w:ascii="Times New Roman" w:hAnsi="Times New Roman"/>
          <w:color w:val="2B2A29"/>
          <w:sz w:val="20"/>
          <w:szCs w:val="20"/>
        </w:rPr>
        <w:t>72.50</w:t>
      </w:r>
      <w:r w:rsidRPr="00C07134">
        <w:rPr>
          <w:rFonts w:ascii="Times New Roman" w:hAnsi="Times New Roman"/>
          <w:color w:val="2B2A29"/>
          <w:sz w:val="20"/>
          <w:szCs w:val="20"/>
        </w:rPr>
        <w:t>%</w:t>
      </w:r>
    </w:p>
    <w:p w14:paraId="04CCBE91"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3DB765EA" w14:textId="77777777" w:rsidR="00083169" w:rsidRPr="0055419F" w:rsidRDefault="00A64045" w:rsidP="00664870">
      <w:pPr>
        <w:widowControl w:val="0"/>
        <w:autoSpaceDE w:val="0"/>
        <w:autoSpaceDN w:val="0"/>
        <w:adjustRightInd w:val="0"/>
        <w:spacing w:after="0" w:line="240" w:lineRule="auto"/>
        <w:jc w:val="both"/>
        <w:rPr>
          <w:rFonts w:ascii="Times New Roman" w:hAnsi="Times New Roman"/>
          <w:b/>
          <w:color w:val="2B2A29"/>
          <w:sz w:val="20"/>
          <w:szCs w:val="20"/>
        </w:rPr>
      </w:pPr>
      <w:r w:rsidRPr="0055419F">
        <w:rPr>
          <w:rFonts w:ascii="Times New Roman" w:hAnsi="Times New Roman"/>
          <w:b/>
          <w:color w:val="2B2A29"/>
          <w:sz w:val="20"/>
          <w:szCs w:val="20"/>
        </w:rPr>
        <w:t xml:space="preserve">*For Counties participating in JRF for Probate Judges, this is payroll related to Probate Judges. </w:t>
      </w:r>
    </w:p>
    <w:p w14:paraId="3FCDA669"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4F75F345"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7B0271D5"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27D5FB6E"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71B78F6"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3FC5294"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11F8D01C"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11547B92"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711548C2"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8952792"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D1BF7DC"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5009B5F"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3556D71"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F547166"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458F3EBB"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23665C42" w14:textId="77777777" w:rsidR="00083169"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28EE1F07" w14:textId="77777777" w:rsidR="00CB1AAB" w:rsidRDefault="00CB1AAB"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2291B38" w14:textId="77777777" w:rsidR="00CB1AAB" w:rsidRDefault="00CB1AAB"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0E061EB8" w14:textId="77777777" w:rsidR="00664870"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1BD5377D" w14:textId="77777777" w:rsidR="00664870"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DBE6431" w14:textId="77777777" w:rsidR="00664870"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C1684F7" w14:textId="77777777" w:rsidR="00664870"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36F7D76A" w14:textId="77777777" w:rsidR="00664870"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D0FD5B2" w14:textId="77777777" w:rsidR="00664870" w:rsidRPr="0055419F"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438605D9" w14:textId="77777777" w:rsidR="00083169"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8458426" w14:textId="77777777" w:rsidR="00E21B08" w:rsidRDefault="00E21B08"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4DEB8B08" w14:textId="77777777" w:rsidR="00E21B08" w:rsidRDefault="00E21B08"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0419AF4" w14:textId="77777777" w:rsidR="00E21B08" w:rsidRDefault="00E21B08"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4FE275CE" w14:textId="77777777" w:rsidR="00E21B08" w:rsidRDefault="00E21B08"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079B3D29" w14:textId="77777777" w:rsidR="00BA5852" w:rsidRPr="0055419F" w:rsidRDefault="00BA5852"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98613E0" w14:textId="77777777" w:rsidR="005C5C7B" w:rsidRPr="0055419F" w:rsidRDefault="00430832"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lastRenderedPageBreak/>
        <w:t>Sample County</w:t>
      </w:r>
    </w:p>
    <w:p w14:paraId="57B56B3D" w14:textId="77777777" w:rsidR="00430832" w:rsidRPr="0055419F" w:rsidRDefault="00430832"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Notes to Required Supplementary Information</w:t>
      </w:r>
    </w:p>
    <w:p w14:paraId="65DFEE75" w14:textId="77777777" w:rsidR="00063694" w:rsidRPr="0055419F" w:rsidRDefault="00063694"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Judicial Retirement Fund</w:t>
      </w:r>
    </w:p>
    <w:p w14:paraId="5ACBDC8A" w14:textId="7C26DCAD" w:rsidR="00430832" w:rsidRPr="0055419F" w:rsidRDefault="00430832"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For t</w:t>
      </w:r>
      <w:r w:rsidR="00BA5852" w:rsidRPr="0055419F">
        <w:rPr>
          <w:rFonts w:ascii="Times New Roman" w:hAnsi="Times New Roman"/>
          <w:b/>
          <w:color w:val="2B2A29"/>
          <w:sz w:val="20"/>
          <w:szCs w:val="20"/>
        </w:rPr>
        <w:t xml:space="preserve">he Year Ended September 30, </w:t>
      </w:r>
      <w:r w:rsidR="004F32ED">
        <w:rPr>
          <w:rFonts w:ascii="Times New Roman" w:hAnsi="Times New Roman"/>
          <w:b/>
          <w:color w:val="2B2A29"/>
          <w:sz w:val="20"/>
          <w:szCs w:val="20"/>
        </w:rPr>
        <w:t>20</w:t>
      </w:r>
      <w:r w:rsidR="00A7777A">
        <w:rPr>
          <w:rFonts w:ascii="Times New Roman" w:hAnsi="Times New Roman"/>
          <w:b/>
          <w:color w:val="2B2A29"/>
          <w:sz w:val="20"/>
          <w:szCs w:val="20"/>
        </w:rPr>
        <w:t>2</w:t>
      </w:r>
      <w:r w:rsidR="0094499B">
        <w:rPr>
          <w:rFonts w:ascii="Times New Roman" w:hAnsi="Times New Roman"/>
          <w:b/>
          <w:color w:val="2B2A29"/>
          <w:sz w:val="20"/>
          <w:szCs w:val="20"/>
        </w:rPr>
        <w:t>3</w:t>
      </w:r>
    </w:p>
    <w:p w14:paraId="59D87266" w14:textId="77777777" w:rsidR="00430832" w:rsidRPr="0055419F" w:rsidRDefault="00430832" w:rsidP="00664870">
      <w:pPr>
        <w:widowControl w:val="0"/>
        <w:autoSpaceDE w:val="0"/>
        <w:autoSpaceDN w:val="0"/>
        <w:adjustRightInd w:val="0"/>
        <w:spacing w:after="0" w:line="240" w:lineRule="auto"/>
        <w:jc w:val="center"/>
        <w:rPr>
          <w:rFonts w:ascii="Times New Roman" w:hAnsi="Times New Roman"/>
          <w:color w:val="2B2A29"/>
          <w:sz w:val="20"/>
          <w:szCs w:val="20"/>
        </w:rPr>
      </w:pPr>
      <w:r w:rsidRPr="0055419F">
        <w:rPr>
          <w:rFonts w:ascii="Times New Roman" w:hAnsi="Times New Roman"/>
          <w:color w:val="2B2A29"/>
          <w:sz w:val="20"/>
          <w:szCs w:val="20"/>
        </w:rPr>
        <w:t>(Dollar amounts in thousands)</w:t>
      </w:r>
    </w:p>
    <w:p w14:paraId="0666C0AD"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b/>
          <w:i/>
          <w:color w:val="2B2A29"/>
          <w:sz w:val="20"/>
          <w:szCs w:val="20"/>
        </w:rPr>
      </w:pPr>
    </w:p>
    <w:p w14:paraId="2EFA7335"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b/>
          <w:i/>
          <w:color w:val="2B2A29"/>
          <w:sz w:val="20"/>
          <w:szCs w:val="20"/>
        </w:rPr>
      </w:pPr>
      <w:r w:rsidRPr="0055419F">
        <w:rPr>
          <w:rFonts w:ascii="Times New Roman" w:hAnsi="Times New Roman"/>
          <w:b/>
          <w:i/>
          <w:color w:val="2B2A29"/>
          <w:sz w:val="20"/>
          <w:szCs w:val="20"/>
        </w:rPr>
        <w:t>Changes in assumptions</w:t>
      </w:r>
    </w:p>
    <w:p w14:paraId="5922813C" w14:textId="1DD5F582" w:rsidR="00430832"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p>
    <w:p w14:paraId="1A09DB0C" w14:textId="37ECB1C0" w:rsidR="00EE6B5B" w:rsidRPr="00EE6B5B" w:rsidRDefault="00EE6B5B" w:rsidP="00EE6B5B">
      <w:pPr>
        <w:widowControl w:val="0"/>
        <w:autoSpaceDE w:val="0"/>
        <w:autoSpaceDN w:val="0"/>
        <w:adjustRightInd w:val="0"/>
        <w:spacing w:after="0" w:line="240" w:lineRule="auto"/>
        <w:jc w:val="both"/>
        <w:rPr>
          <w:rFonts w:ascii="Times New Roman" w:hAnsi="Times New Roman"/>
          <w:color w:val="2B2A29"/>
          <w:sz w:val="20"/>
          <w:szCs w:val="20"/>
        </w:rPr>
      </w:pPr>
      <w:r w:rsidRPr="00EE6B5B">
        <w:rPr>
          <w:rFonts w:ascii="Times New Roman" w:hAnsi="Times New Roman"/>
          <w:color w:val="2B2A29"/>
          <w:sz w:val="20"/>
          <w:szCs w:val="20"/>
        </w:rPr>
        <w:t>In 2021, rates of retirement and mortality were adjusted to more closely reflect actual</w:t>
      </w:r>
      <w:r>
        <w:rPr>
          <w:rFonts w:ascii="Times New Roman" w:hAnsi="Times New Roman"/>
          <w:color w:val="2B2A29"/>
          <w:sz w:val="20"/>
          <w:szCs w:val="20"/>
        </w:rPr>
        <w:t xml:space="preserve"> </w:t>
      </w:r>
      <w:r w:rsidRPr="00EE6B5B">
        <w:rPr>
          <w:rFonts w:ascii="Times New Roman" w:hAnsi="Times New Roman"/>
          <w:color w:val="2B2A29"/>
          <w:sz w:val="20"/>
          <w:szCs w:val="20"/>
        </w:rPr>
        <w:t>experience. In 2021, economic assumptions and the assumed rates of salary increase were adjusted to more closely reflect actual and anticipated experience, including a change in the discount rate from 7.65% to 7.40%. In 2021 and later, the expectation of retired life mortality was changed to the Pub-2010 Teacher Retiree Below Median Tables projected generationally with 66-2/3% of the MP-2020 scale beginning in 2019.</w:t>
      </w:r>
    </w:p>
    <w:p w14:paraId="0725216C" w14:textId="77777777" w:rsidR="00EE6B5B" w:rsidRPr="00EE6B5B" w:rsidRDefault="00EE6B5B" w:rsidP="00EE6B5B">
      <w:pPr>
        <w:widowControl w:val="0"/>
        <w:autoSpaceDE w:val="0"/>
        <w:autoSpaceDN w:val="0"/>
        <w:adjustRightInd w:val="0"/>
        <w:spacing w:after="0" w:line="240" w:lineRule="auto"/>
        <w:jc w:val="both"/>
        <w:rPr>
          <w:rFonts w:ascii="Times New Roman" w:hAnsi="Times New Roman"/>
          <w:color w:val="2B2A29"/>
          <w:sz w:val="20"/>
          <w:szCs w:val="20"/>
        </w:rPr>
      </w:pPr>
    </w:p>
    <w:p w14:paraId="367FD958" w14:textId="77777777" w:rsidR="00EE6B5B" w:rsidRPr="00EE6B5B" w:rsidRDefault="00EE6B5B" w:rsidP="00EE6B5B">
      <w:pPr>
        <w:widowControl w:val="0"/>
        <w:autoSpaceDE w:val="0"/>
        <w:autoSpaceDN w:val="0"/>
        <w:adjustRightInd w:val="0"/>
        <w:spacing w:after="0" w:line="240" w:lineRule="auto"/>
        <w:jc w:val="both"/>
        <w:rPr>
          <w:rFonts w:ascii="Times New Roman" w:hAnsi="Times New Roman"/>
          <w:color w:val="2B2A29"/>
          <w:sz w:val="20"/>
          <w:szCs w:val="20"/>
        </w:rPr>
      </w:pPr>
      <w:r w:rsidRPr="00EE6B5B">
        <w:rPr>
          <w:rFonts w:ascii="Times New Roman" w:hAnsi="Times New Roman"/>
          <w:color w:val="2B2A29"/>
          <w:sz w:val="20"/>
          <w:szCs w:val="20"/>
        </w:rPr>
        <w:t>In 2018, the discount rate was changed from 7.75% to 7.65%.</w:t>
      </w:r>
    </w:p>
    <w:p w14:paraId="61C1C5C8" w14:textId="77777777" w:rsidR="00EE6B5B" w:rsidRPr="00EE6B5B" w:rsidRDefault="00EE6B5B" w:rsidP="00EE6B5B">
      <w:pPr>
        <w:widowControl w:val="0"/>
        <w:autoSpaceDE w:val="0"/>
        <w:autoSpaceDN w:val="0"/>
        <w:adjustRightInd w:val="0"/>
        <w:spacing w:after="0" w:line="240" w:lineRule="auto"/>
        <w:jc w:val="both"/>
        <w:rPr>
          <w:rFonts w:ascii="Times New Roman" w:hAnsi="Times New Roman"/>
          <w:color w:val="2B2A29"/>
          <w:sz w:val="20"/>
          <w:szCs w:val="20"/>
        </w:rPr>
      </w:pPr>
    </w:p>
    <w:p w14:paraId="61CD6810" w14:textId="77777777" w:rsidR="00EE6B5B" w:rsidRPr="00EE6B5B" w:rsidRDefault="00EE6B5B" w:rsidP="00EE6B5B">
      <w:pPr>
        <w:widowControl w:val="0"/>
        <w:autoSpaceDE w:val="0"/>
        <w:autoSpaceDN w:val="0"/>
        <w:adjustRightInd w:val="0"/>
        <w:spacing w:after="0" w:line="240" w:lineRule="auto"/>
        <w:jc w:val="both"/>
        <w:rPr>
          <w:rFonts w:ascii="Times New Roman" w:hAnsi="Times New Roman"/>
          <w:color w:val="2B2A29"/>
          <w:sz w:val="20"/>
          <w:szCs w:val="20"/>
        </w:rPr>
      </w:pPr>
      <w:r w:rsidRPr="00EE6B5B">
        <w:rPr>
          <w:rFonts w:ascii="Times New Roman" w:hAnsi="Times New Roman"/>
          <w:color w:val="2B2A29"/>
          <w:sz w:val="20"/>
          <w:szCs w:val="20"/>
        </w:rPr>
        <w:t>In 2016, rates of retirement, disability and mortality were adjusted to more closely reflect actual experience. In 2016, economic assumptions and the assumed rates of salary increase were adjusted to more closely reflect actual and anticipated experience. In 2016 the expectation of retired life mortality was changed to the RP-2000 White Collar Mortality Table projected to 2020 using scale BB and adjusted 115% for males and 112% for females</w:t>
      </w:r>
    </w:p>
    <w:p w14:paraId="201E28EC" w14:textId="77777777" w:rsidR="00EE6B5B" w:rsidRPr="00EE6B5B" w:rsidRDefault="00EE6B5B" w:rsidP="00EE6B5B">
      <w:pPr>
        <w:widowControl w:val="0"/>
        <w:autoSpaceDE w:val="0"/>
        <w:autoSpaceDN w:val="0"/>
        <w:adjustRightInd w:val="0"/>
        <w:spacing w:after="0" w:line="240" w:lineRule="auto"/>
        <w:jc w:val="both"/>
        <w:rPr>
          <w:rFonts w:ascii="Times New Roman" w:hAnsi="Times New Roman"/>
          <w:color w:val="2B2A29"/>
          <w:sz w:val="20"/>
          <w:szCs w:val="20"/>
        </w:rPr>
      </w:pPr>
      <w:r w:rsidRPr="00EE6B5B">
        <w:rPr>
          <w:rFonts w:ascii="Times New Roman" w:hAnsi="Times New Roman"/>
          <w:color w:val="2B2A29"/>
          <w:sz w:val="20"/>
          <w:szCs w:val="20"/>
        </w:rPr>
        <w:t>older than 78.</w:t>
      </w:r>
    </w:p>
    <w:p w14:paraId="09F7F245"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p>
    <w:p w14:paraId="08160747" w14:textId="6DC164A6" w:rsidR="00430832" w:rsidRPr="0055419F" w:rsidRDefault="00430832" w:rsidP="00664870">
      <w:pPr>
        <w:widowControl w:val="0"/>
        <w:autoSpaceDE w:val="0"/>
        <w:autoSpaceDN w:val="0"/>
        <w:adjustRightInd w:val="0"/>
        <w:spacing w:after="0" w:line="240" w:lineRule="auto"/>
        <w:jc w:val="both"/>
        <w:rPr>
          <w:rFonts w:ascii="Times New Roman" w:hAnsi="Times New Roman"/>
          <w:b/>
          <w:i/>
          <w:color w:val="2B2A29"/>
          <w:sz w:val="20"/>
          <w:szCs w:val="20"/>
        </w:rPr>
      </w:pPr>
      <w:r w:rsidRPr="0055419F">
        <w:rPr>
          <w:rFonts w:ascii="Times New Roman" w:hAnsi="Times New Roman"/>
          <w:b/>
          <w:i/>
          <w:color w:val="2B2A29"/>
          <w:sz w:val="20"/>
          <w:szCs w:val="20"/>
        </w:rPr>
        <w:t>Method</w:t>
      </w:r>
      <w:r w:rsidR="00EE6B5B">
        <w:rPr>
          <w:rFonts w:ascii="Times New Roman" w:hAnsi="Times New Roman"/>
          <w:b/>
          <w:i/>
          <w:color w:val="2B2A29"/>
          <w:sz w:val="20"/>
          <w:szCs w:val="20"/>
        </w:rPr>
        <w:t xml:space="preserve"> </w:t>
      </w:r>
      <w:r w:rsidRPr="0055419F">
        <w:rPr>
          <w:rFonts w:ascii="Times New Roman" w:hAnsi="Times New Roman"/>
          <w:b/>
          <w:i/>
          <w:color w:val="2B2A29"/>
          <w:sz w:val="20"/>
          <w:szCs w:val="20"/>
        </w:rPr>
        <w:t>and assumptions used in calculations of actuarially determined contributions</w:t>
      </w:r>
    </w:p>
    <w:p w14:paraId="5021E9D6"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p>
    <w:p w14:paraId="401495AD" w14:textId="1DEB0BAA" w:rsidR="00430832" w:rsidRPr="0055419F"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The actuarially determined contribution rates in the schedule of contributions are calculated as</w:t>
      </w:r>
      <w:r w:rsidR="00414FF5" w:rsidRPr="0055419F">
        <w:rPr>
          <w:rFonts w:ascii="Times New Roman" w:hAnsi="Times New Roman"/>
          <w:color w:val="2B2A29"/>
          <w:sz w:val="20"/>
          <w:szCs w:val="20"/>
        </w:rPr>
        <w:t xml:space="preserve"> of September 30, three</w:t>
      </w:r>
      <w:r w:rsidRPr="0055419F">
        <w:rPr>
          <w:rFonts w:ascii="Times New Roman" w:hAnsi="Times New Roman"/>
          <w:color w:val="2B2A29"/>
          <w:sz w:val="20"/>
          <w:szCs w:val="20"/>
        </w:rPr>
        <w:t xml:space="preserve"> years prior to the end of the fiscal year in which contributions are reported. The following actuarial methods and assumptions were used to determine the contractually required contributions f</w:t>
      </w:r>
      <w:r w:rsidR="00E22CA3">
        <w:rPr>
          <w:rFonts w:ascii="Times New Roman" w:hAnsi="Times New Roman"/>
          <w:color w:val="2B2A29"/>
          <w:sz w:val="20"/>
          <w:szCs w:val="20"/>
        </w:rPr>
        <w:t xml:space="preserve">or year ended September 30, </w:t>
      </w:r>
      <w:r w:rsidR="004F32ED">
        <w:rPr>
          <w:rFonts w:ascii="Times New Roman" w:hAnsi="Times New Roman"/>
          <w:color w:val="2B2A29"/>
          <w:sz w:val="20"/>
          <w:szCs w:val="20"/>
        </w:rPr>
        <w:t>20</w:t>
      </w:r>
      <w:r w:rsidR="00115A0B">
        <w:rPr>
          <w:rFonts w:ascii="Times New Roman" w:hAnsi="Times New Roman"/>
          <w:color w:val="2B2A29"/>
          <w:sz w:val="20"/>
          <w:szCs w:val="20"/>
        </w:rPr>
        <w:t>2</w:t>
      </w:r>
      <w:r w:rsidR="0094499B">
        <w:rPr>
          <w:rFonts w:ascii="Times New Roman" w:hAnsi="Times New Roman"/>
          <w:color w:val="2B2A29"/>
          <w:sz w:val="20"/>
          <w:szCs w:val="20"/>
        </w:rPr>
        <w:t>2</w:t>
      </w:r>
      <w:r w:rsidR="00CB1AAB">
        <w:rPr>
          <w:rFonts w:ascii="Times New Roman" w:hAnsi="Times New Roman"/>
          <w:color w:val="2B2A29"/>
          <w:sz w:val="20"/>
          <w:szCs w:val="20"/>
        </w:rPr>
        <w:t>,</w:t>
      </w:r>
      <w:r w:rsidR="00E21B08">
        <w:rPr>
          <w:rFonts w:ascii="Times New Roman" w:hAnsi="Times New Roman"/>
          <w:color w:val="2B2A29"/>
          <w:sz w:val="20"/>
          <w:szCs w:val="20"/>
        </w:rPr>
        <w:t xml:space="preserve"> </w:t>
      </w:r>
      <w:r w:rsidRPr="0055419F">
        <w:rPr>
          <w:rFonts w:ascii="Times New Roman" w:hAnsi="Times New Roman"/>
          <w:color w:val="2B2A29"/>
          <w:sz w:val="20"/>
          <w:szCs w:val="20"/>
        </w:rPr>
        <w:t>reported in that schedule:</w:t>
      </w:r>
    </w:p>
    <w:p w14:paraId="70BEED01"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p>
    <w:p w14:paraId="6797336D" w14:textId="0C3051FE" w:rsidR="00430832" w:rsidRPr="0055419F"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 xml:space="preserve">Valuation </w:t>
      </w:r>
      <w:r w:rsidR="00414FF5" w:rsidRPr="0055419F">
        <w:rPr>
          <w:rFonts w:ascii="Times New Roman" w:hAnsi="Times New Roman"/>
          <w:color w:val="2B2A29"/>
          <w:sz w:val="20"/>
          <w:szCs w:val="20"/>
        </w:rPr>
        <w:t>date</w:t>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BA5852" w:rsidRPr="0055419F">
        <w:rPr>
          <w:rFonts w:ascii="Times New Roman" w:hAnsi="Times New Roman"/>
          <w:color w:val="2B2A29"/>
          <w:sz w:val="20"/>
          <w:szCs w:val="20"/>
        </w:rPr>
        <w:t>September 30, 201</w:t>
      </w:r>
      <w:r w:rsidR="0094499B">
        <w:rPr>
          <w:rFonts w:ascii="Times New Roman" w:hAnsi="Times New Roman"/>
          <w:color w:val="2B2A29"/>
          <w:sz w:val="20"/>
          <w:szCs w:val="20"/>
        </w:rPr>
        <w:t>9</w:t>
      </w:r>
    </w:p>
    <w:p w14:paraId="2E9CC460" w14:textId="77777777"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Actuarial cost method</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t>Entry age normal</w:t>
      </w:r>
    </w:p>
    <w:p w14:paraId="4F26604E" w14:textId="528F0270"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Amortization method</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083169" w:rsidRPr="0055419F">
        <w:rPr>
          <w:rFonts w:ascii="Times New Roman" w:hAnsi="Times New Roman"/>
          <w:color w:val="2B2A29"/>
          <w:sz w:val="20"/>
          <w:szCs w:val="20"/>
        </w:rPr>
        <w:t xml:space="preserve">Level percent </w:t>
      </w:r>
      <w:r w:rsidR="00CB1AAB">
        <w:rPr>
          <w:rFonts w:ascii="Times New Roman" w:hAnsi="Times New Roman"/>
          <w:color w:val="2B2A29"/>
          <w:sz w:val="20"/>
          <w:szCs w:val="20"/>
        </w:rPr>
        <w:t>closed</w:t>
      </w:r>
    </w:p>
    <w:p w14:paraId="0E496A7A" w14:textId="54E93E1D"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Single equivalent remaining amortization period</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94499B">
        <w:rPr>
          <w:rFonts w:ascii="Times New Roman" w:hAnsi="Times New Roman"/>
          <w:color w:val="2B2A29"/>
          <w:sz w:val="20"/>
          <w:szCs w:val="20"/>
        </w:rPr>
        <w:t>19</w:t>
      </w:r>
      <w:r w:rsidR="0056508D">
        <w:rPr>
          <w:rFonts w:ascii="Times New Roman" w:hAnsi="Times New Roman"/>
          <w:color w:val="2B2A29"/>
          <w:sz w:val="20"/>
          <w:szCs w:val="20"/>
        </w:rPr>
        <w:t>.</w:t>
      </w:r>
      <w:r w:rsidR="0094499B">
        <w:rPr>
          <w:rFonts w:ascii="Times New Roman" w:hAnsi="Times New Roman"/>
          <w:color w:val="2B2A29"/>
          <w:sz w:val="20"/>
          <w:szCs w:val="20"/>
        </w:rPr>
        <w:t>8</w:t>
      </w:r>
      <w:r w:rsidR="00CB1AAB">
        <w:rPr>
          <w:rFonts w:ascii="Times New Roman" w:hAnsi="Times New Roman"/>
          <w:color w:val="2B2A29"/>
          <w:sz w:val="20"/>
          <w:szCs w:val="20"/>
        </w:rPr>
        <w:t xml:space="preserve"> </w:t>
      </w:r>
      <w:r w:rsidRPr="0055419F">
        <w:rPr>
          <w:rFonts w:ascii="Times New Roman" w:hAnsi="Times New Roman"/>
          <w:color w:val="2B2A29"/>
          <w:sz w:val="20"/>
          <w:szCs w:val="20"/>
        </w:rPr>
        <w:t>years</w:t>
      </w:r>
    </w:p>
    <w:p w14:paraId="31869181" w14:textId="762BB5BC"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Asset valuation method</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t xml:space="preserve">Five-year </w:t>
      </w:r>
      <w:r w:rsidR="00083169" w:rsidRPr="0055419F">
        <w:rPr>
          <w:rFonts w:ascii="Times New Roman" w:hAnsi="Times New Roman"/>
          <w:color w:val="2B2A29"/>
          <w:sz w:val="20"/>
          <w:szCs w:val="20"/>
        </w:rPr>
        <w:t>smoothed market value</w:t>
      </w:r>
    </w:p>
    <w:p w14:paraId="1288CAC6" w14:textId="11647840"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 xml:space="preserve">Inflation rate </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t>2.75</w:t>
      </w:r>
      <w:r w:rsidRPr="0055419F">
        <w:rPr>
          <w:rFonts w:ascii="Times New Roman" w:hAnsi="Times New Roman"/>
          <w:color w:val="2B2A29"/>
          <w:sz w:val="20"/>
          <w:szCs w:val="20"/>
        </w:rPr>
        <w:t>%</w:t>
      </w:r>
    </w:p>
    <w:p w14:paraId="24D7B74B" w14:textId="4A5D3E4C"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Ultimate investment rate of retur</w:t>
      </w:r>
      <w:r w:rsidR="004F32ED">
        <w:rPr>
          <w:rFonts w:ascii="Times New Roman" w:hAnsi="Times New Roman"/>
          <w:color w:val="2B2A29"/>
          <w:sz w:val="20"/>
          <w:szCs w:val="20"/>
        </w:rPr>
        <w:t>n</w:t>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t>7.</w:t>
      </w:r>
      <w:r w:rsidR="00E9209C">
        <w:rPr>
          <w:rFonts w:ascii="Times New Roman" w:hAnsi="Times New Roman"/>
          <w:color w:val="2B2A29"/>
          <w:sz w:val="20"/>
          <w:szCs w:val="20"/>
        </w:rPr>
        <w:t>65</w:t>
      </w:r>
      <w:r w:rsidRPr="0055419F">
        <w:rPr>
          <w:rFonts w:ascii="Times New Roman" w:hAnsi="Times New Roman"/>
          <w:color w:val="2B2A29"/>
          <w:sz w:val="20"/>
          <w:szCs w:val="20"/>
        </w:rPr>
        <w:t>%</w:t>
      </w:r>
    </w:p>
    <w:p w14:paraId="029F75EB" w14:textId="1276EB9A"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Projected salary increases</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56508D">
        <w:rPr>
          <w:rFonts w:ascii="Times New Roman" w:hAnsi="Times New Roman"/>
          <w:color w:val="2B2A29"/>
          <w:sz w:val="20"/>
          <w:szCs w:val="20"/>
        </w:rPr>
        <w:t>3.25</w:t>
      </w:r>
      <w:r w:rsidRPr="0055419F">
        <w:rPr>
          <w:rFonts w:ascii="Times New Roman" w:hAnsi="Times New Roman"/>
          <w:color w:val="2B2A29"/>
          <w:sz w:val="20"/>
          <w:szCs w:val="20"/>
        </w:rPr>
        <w:t>%</w:t>
      </w:r>
      <w:r w:rsidR="0056508D">
        <w:rPr>
          <w:rFonts w:ascii="Times New Roman" w:hAnsi="Times New Roman"/>
          <w:color w:val="2B2A29"/>
          <w:sz w:val="20"/>
          <w:szCs w:val="20"/>
        </w:rPr>
        <w:t xml:space="preserve"> - 3.50%</w:t>
      </w:r>
    </w:p>
    <w:p w14:paraId="3A7B584B" w14:textId="304D700B" w:rsidR="00CB1AAB"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Cost-of-living adjustments</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56508D">
        <w:rPr>
          <w:rFonts w:ascii="Times New Roman" w:hAnsi="Times New Roman"/>
          <w:color w:val="2B2A29"/>
          <w:sz w:val="20"/>
          <w:szCs w:val="20"/>
        </w:rPr>
        <w:t>3.00</w:t>
      </w:r>
      <w:r w:rsidRPr="0055419F">
        <w:rPr>
          <w:rFonts w:ascii="Times New Roman" w:hAnsi="Times New Roman"/>
          <w:color w:val="2B2A29"/>
          <w:sz w:val="20"/>
          <w:szCs w:val="20"/>
        </w:rPr>
        <w:t xml:space="preserve">% </w:t>
      </w:r>
      <w:r w:rsidR="00083169" w:rsidRPr="0055419F">
        <w:rPr>
          <w:rFonts w:ascii="Times New Roman" w:hAnsi="Times New Roman"/>
          <w:color w:val="2B2A29"/>
          <w:sz w:val="20"/>
          <w:szCs w:val="20"/>
        </w:rPr>
        <w:t>per year for certain members hired prior to</w:t>
      </w:r>
    </w:p>
    <w:p w14:paraId="28F6F743" w14:textId="77777777" w:rsidR="00CB1AAB" w:rsidRDefault="00083169" w:rsidP="00E21B08">
      <w:pPr>
        <w:widowControl w:val="0"/>
        <w:autoSpaceDE w:val="0"/>
        <w:autoSpaceDN w:val="0"/>
        <w:adjustRightInd w:val="0"/>
        <w:spacing w:after="0" w:line="240" w:lineRule="auto"/>
        <w:ind w:left="5440"/>
        <w:jc w:val="both"/>
        <w:rPr>
          <w:rFonts w:ascii="Times New Roman" w:hAnsi="Times New Roman"/>
          <w:color w:val="2B2A29"/>
          <w:sz w:val="20"/>
          <w:szCs w:val="20"/>
        </w:rPr>
      </w:pPr>
      <w:r w:rsidRPr="0055419F">
        <w:rPr>
          <w:rFonts w:ascii="Times New Roman" w:hAnsi="Times New Roman"/>
          <w:color w:val="2B2A29"/>
          <w:sz w:val="20"/>
          <w:szCs w:val="20"/>
        </w:rPr>
        <w:t>July 30, 1979</w:t>
      </w:r>
      <w:r w:rsidR="00CB1AAB">
        <w:rPr>
          <w:rFonts w:ascii="Times New Roman" w:hAnsi="Times New Roman"/>
          <w:color w:val="2B2A29"/>
          <w:sz w:val="20"/>
          <w:szCs w:val="20"/>
        </w:rPr>
        <w:t>,</w:t>
      </w:r>
      <w:r w:rsidRPr="0055419F">
        <w:rPr>
          <w:rFonts w:ascii="Times New Roman" w:hAnsi="Times New Roman"/>
          <w:color w:val="2B2A29"/>
          <w:sz w:val="20"/>
          <w:szCs w:val="20"/>
        </w:rPr>
        <w:t xml:space="preserve"> and for spouses</w:t>
      </w:r>
      <w:r w:rsidR="00CB1AAB">
        <w:rPr>
          <w:rFonts w:ascii="Times New Roman" w:hAnsi="Times New Roman"/>
          <w:color w:val="2B2A29"/>
          <w:sz w:val="20"/>
          <w:szCs w:val="20"/>
        </w:rPr>
        <w:t>’</w:t>
      </w:r>
      <w:r w:rsidRPr="0055419F">
        <w:rPr>
          <w:rFonts w:ascii="Times New Roman" w:hAnsi="Times New Roman"/>
          <w:color w:val="2B2A29"/>
          <w:sz w:val="20"/>
          <w:szCs w:val="20"/>
        </w:rPr>
        <w:t xml:space="preserve"> benefits subject</w:t>
      </w:r>
    </w:p>
    <w:p w14:paraId="257890CB" w14:textId="77777777" w:rsidR="00083169" w:rsidRPr="0055419F" w:rsidRDefault="00083169" w:rsidP="00E21B08">
      <w:pPr>
        <w:widowControl w:val="0"/>
        <w:autoSpaceDE w:val="0"/>
        <w:autoSpaceDN w:val="0"/>
        <w:adjustRightInd w:val="0"/>
        <w:spacing w:after="0" w:line="240" w:lineRule="auto"/>
        <w:ind w:left="5440"/>
        <w:jc w:val="both"/>
        <w:rPr>
          <w:rFonts w:ascii="Times New Roman" w:hAnsi="Times New Roman"/>
          <w:color w:val="2B2A29"/>
          <w:sz w:val="20"/>
          <w:szCs w:val="20"/>
        </w:rPr>
      </w:pPr>
      <w:r w:rsidRPr="0055419F">
        <w:rPr>
          <w:rFonts w:ascii="Times New Roman" w:hAnsi="Times New Roman"/>
          <w:color w:val="2B2A29"/>
          <w:sz w:val="20"/>
          <w:szCs w:val="20"/>
        </w:rPr>
        <w:t xml:space="preserve">to increase. </w:t>
      </w:r>
    </w:p>
    <w:p w14:paraId="2F922092" w14:textId="77777777"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rPr>
      </w:pPr>
    </w:p>
    <w:p w14:paraId="13F83E69" w14:textId="1D36C416"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rPr>
      </w:pPr>
    </w:p>
    <w:sectPr w:rsidR="0048430D" w:rsidRPr="0055419F" w:rsidSect="00A940AE">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B7A4A" w14:textId="77777777" w:rsidR="002247F1" w:rsidRDefault="002247F1" w:rsidP="00192305">
      <w:pPr>
        <w:spacing w:after="0" w:line="240" w:lineRule="auto"/>
      </w:pPr>
      <w:r>
        <w:separator/>
      </w:r>
    </w:p>
  </w:endnote>
  <w:endnote w:type="continuationSeparator" w:id="0">
    <w:p w14:paraId="39D4C217" w14:textId="77777777" w:rsidR="002247F1" w:rsidRDefault="002247F1" w:rsidP="00192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50FE5" w14:textId="77777777" w:rsidR="002247F1" w:rsidRDefault="002247F1" w:rsidP="00192305">
      <w:pPr>
        <w:spacing w:after="0" w:line="240" w:lineRule="auto"/>
      </w:pPr>
      <w:r>
        <w:separator/>
      </w:r>
    </w:p>
  </w:footnote>
  <w:footnote w:type="continuationSeparator" w:id="0">
    <w:p w14:paraId="18BA3AEF" w14:textId="77777777" w:rsidR="002247F1" w:rsidRDefault="002247F1" w:rsidP="001923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D6D"/>
    <w:rsid w:val="00042BB4"/>
    <w:rsid w:val="00063694"/>
    <w:rsid w:val="00064ABC"/>
    <w:rsid w:val="00083169"/>
    <w:rsid w:val="000A49A0"/>
    <w:rsid w:val="00115A0B"/>
    <w:rsid w:val="00122F08"/>
    <w:rsid w:val="00192305"/>
    <w:rsid w:val="001F24D7"/>
    <w:rsid w:val="002247F1"/>
    <w:rsid w:val="00237BD3"/>
    <w:rsid w:val="0024770F"/>
    <w:rsid w:val="002E22AB"/>
    <w:rsid w:val="002E3CC6"/>
    <w:rsid w:val="00301BFB"/>
    <w:rsid w:val="00313C4B"/>
    <w:rsid w:val="003A44CC"/>
    <w:rsid w:val="003C6D19"/>
    <w:rsid w:val="003D02E1"/>
    <w:rsid w:val="004057D2"/>
    <w:rsid w:val="00414FF5"/>
    <w:rsid w:val="00430832"/>
    <w:rsid w:val="0048430D"/>
    <w:rsid w:val="004A0FCC"/>
    <w:rsid w:val="004D2C3B"/>
    <w:rsid w:val="004F32ED"/>
    <w:rsid w:val="005414E6"/>
    <w:rsid w:val="0055419F"/>
    <w:rsid w:val="0056508D"/>
    <w:rsid w:val="00576279"/>
    <w:rsid w:val="005A2583"/>
    <w:rsid w:val="005A6B4F"/>
    <w:rsid w:val="005C5C7B"/>
    <w:rsid w:val="00606DD6"/>
    <w:rsid w:val="00664870"/>
    <w:rsid w:val="006A0B3F"/>
    <w:rsid w:val="00724269"/>
    <w:rsid w:val="00725A73"/>
    <w:rsid w:val="007663EA"/>
    <w:rsid w:val="00767766"/>
    <w:rsid w:val="00832665"/>
    <w:rsid w:val="00863BFA"/>
    <w:rsid w:val="008C04AB"/>
    <w:rsid w:val="008C6D6D"/>
    <w:rsid w:val="008E3523"/>
    <w:rsid w:val="009047CF"/>
    <w:rsid w:val="00926FA1"/>
    <w:rsid w:val="009376A7"/>
    <w:rsid w:val="0094499B"/>
    <w:rsid w:val="00950F23"/>
    <w:rsid w:val="00954E0C"/>
    <w:rsid w:val="00957492"/>
    <w:rsid w:val="00973E6C"/>
    <w:rsid w:val="00986CC7"/>
    <w:rsid w:val="009A5747"/>
    <w:rsid w:val="00A26B59"/>
    <w:rsid w:val="00A4542D"/>
    <w:rsid w:val="00A64045"/>
    <w:rsid w:val="00A6437C"/>
    <w:rsid w:val="00A7777A"/>
    <w:rsid w:val="00A940AE"/>
    <w:rsid w:val="00A96F6A"/>
    <w:rsid w:val="00AC460A"/>
    <w:rsid w:val="00BA0E5F"/>
    <w:rsid w:val="00BA5852"/>
    <w:rsid w:val="00BE2777"/>
    <w:rsid w:val="00C07134"/>
    <w:rsid w:val="00C146E6"/>
    <w:rsid w:val="00CB06CE"/>
    <w:rsid w:val="00CB1AAB"/>
    <w:rsid w:val="00CB4E29"/>
    <w:rsid w:val="00DA36D2"/>
    <w:rsid w:val="00E10B6E"/>
    <w:rsid w:val="00E21B08"/>
    <w:rsid w:val="00E22CA3"/>
    <w:rsid w:val="00E347AC"/>
    <w:rsid w:val="00E62F17"/>
    <w:rsid w:val="00E9209C"/>
    <w:rsid w:val="00EA520C"/>
    <w:rsid w:val="00EE6B5B"/>
    <w:rsid w:val="00F16979"/>
    <w:rsid w:val="00F16F07"/>
    <w:rsid w:val="00F31F45"/>
    <w:rsid w:val="00F36781"/>
    <w:rsid w:val="00F67B41"/>
    <w:rsid w:val="00FB5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F00C10C"/>
  <w14:defaultImageDpi w14:val="0"/>
  <w15:docId w15:val="{156F2034-6211-4F06-ADD4-5F782A5A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14E6"/>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192305"/>
    <w:pPr>
      <w:tabs>
        <w:tab w:val="center" w:pos="4680"/>
        <w:tab w:val="right" w:pos="9360"/>
      </w:tabs>
    </w:pPr>
  </w:style>
  <w:style w:type="character" w:customStyle="1" w:styleId="HeaderChar">
    <w:name w:val="Header Char"/>
    <w:basedOn w:val="DefaultParagraphFont"/>
    <w:link w:val="Header"/>
    <w:uiPriority w:val="99"/>
    <w:rsid w:val="00192305"/>
  </w:style>
  <w:style w:type="paragraph" w:styleId="Footer">
    <w:name w:val="footer"/>
    <w:basedOn w:val="Normal"/>
    <w:link w:val="FooterChar"/>
    <w:uiPriority w:val="99"/>
    <w:unhideWhenUsed/>
    <w:rsid w:val="00192305"/>
    <w:pPr>
      <w:tabs>
        <w:tab w:val="center" w:pos="4680"/>
        <w:tab w:val="right" w:pos="9360"/>
      </w:tabs>
    </w:pPr>
  </w:style>
  <w:style w:type="character" w:customStyle="1" w:styleId="FooterChar">
    <w:name w:val="Footer Char"/>
    <w:basedOn w:val="DefaultParagraphFont"/>
    <w:link w:val="Footer"/>
    <w:uiPriority w:val="99"/>
    <w:rsid w:val="00192305"/>
  </w:style>
  <w:style w:type="paragraph" w:styleId="BalloonText">
    <w:name w:val="Balloon Text"/>
    <w:basedOn w:val="Normal"/>
    <w:link w:val="BalloonTextChar"/>
    <w:uiPriority w:val="99"/>
    <w:semiHidden/>
    <w:unhideWhenUsed/>
    <w:rsid w:val="00BA0E5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A0E5F"/>
    <w:rPr>
      <w:rFonts w:ascii="Segoe UI" w:hAnsi="Segoe UI" w:cs="Segoe UI"/>
      <w:sz w:val="18"/>
      <w:szCs w:val="18"/>
    </w:rPr>
  </w:style>
  <w:style w:type="character" w:styleId="Hyperlink">
    <w:name w:val="Hyperlink"/>
    <w:basedOn w:val="DefaultParagraphFont"/>
    <w:uiPriority w:val="99"/>
    <w:unhideWhenUsed/>
    <w:rsid w:val="00A6437C"/>
    <w:rPr>
      <w:color w:val="0563C1" w:themeColor="hyperlink"/>
      <w:u w:val="single"/>
    </w:rPr>
  </w:style>
  <w:style w:type="paragraph" w:styleId="BodyText">
    <w:name w:val="Body Text"/>
    <w:basedOn w:val="Normal"/>
    <w:link w:val="BodyTextChar"/>
    <w:uiPriority w:val="99"/>
    <w:rsid w:val="00664870"/>
    <w:pPr>
      <w:tabs>
        <w:tab w:val="left" w:pos="-1368"/>
        <w:tab w:val="left" w:pos="-720"/>
        <w:tab w:val="left" w:pos="0"/>
        <w:tab w:val="left" w:pos="720"/>
        <w:tab w:val="left" w:pos="1440"/>
        <w:tab w:val="left" w:pos="2160"/>
        <w:tab w:val="left" w:pos="2880"/>
        <w:tab w:val="left" w:pos="3600"/>
        <w:tab w:val="left" w:pos="4320"/>
        <w:tab w:val="left" w:pos="5040"/>
        <w:tab w:val="left" w:pos="5760"/>
        <w:tab w:val="left" w:pos="6372"/>
        <w:tab w:val="left" w:pos="7200"/>
        <w:tab w:val="left" w:pos="7812"/>
        <w:tab w:val="left" w:pos="8640"/>
      </w:tabs>
      <w:spacing w:after="0" w:line="264" w:lineRule="auto"/>
      <w:jc w:val="both"/>
    </w:pPr>
    <w:rPr>
      <w:rFonts w:ascii="Times New Roman" w:hAnsi="Times New Roman"/>
      <w:color w:val="000000"/>
      <w:sz w:val="20"/>
      <w:szCs w:val="20"/>
    </w:rPr>
  </w:style>
  <w:style w:type="character" w:customStyle="1" w:styleId="BodyTextChar">
    <w:name w:val="Body Text Char"/>
    <w:basedOn w:val="DefaultParagraphFont"/>
    <w:link w:val="BodyText"/>
    <w:uiPriority w:val="99"/>
    <w:rsid w:val="00664870"/>
    <w:rPr>
      <w:rFonts w:ascii="Times New Roman" w:hAnsi="Times New Roman"/>
      <w:color w:val="000000"/>
    </w:rPr>
  </w:style>
  <w:style w:type="character" w:styleId="CommentReference">
    <w:name w:val="annotation reference"/>
    <w:basedOn w:val="DefaultParagraphFont"/>
    <w:uiPriority w:val="99"/>
    <w:semiHidden/>
    <w:unhideWhenUsed/>
    <w:rsid w:val="00CB1AAB"/>
    <w:rPr>
      <w:sz w:val="16"/>
      <w:szCs w:val="16"/>
    </w:rPr>
  </w:style>
  <w:style w:type="paragraph" w:styleId="CommentText">
    <w:name w:val="annotation text"/>
    <w:basedOn w:val="Normal"/>
    <w:link w:val="CommentTextChar"/>
    <w:uiPriority w:val="99"/>
    <w:semiHidden/>
    <w:unhideWhenUsed/>
    <w:rsid w:val="00CB1AAB"/>
    <w:pPr>
      <w:spacing w:line="240" w:lineRule="auto"/>
    </w:pPr>
    <w:rPr>
      <w:sz w:val="20"/>
      <w:szCs w:val="20"/>
    </w:rPr>
  </w:style>
  <w:style w:type="character" w:customStyle="1" w:styleId="CommentTextChar">
    <w:name w:val="Comment Text Char"/>
    <w:basedOn w:val="DefaultParagraphFont"/>
    <w:link w:val="CommentText"/>
    <w:uiPriority w:val="99"/>
    <w:semiHidden/>
    <w:rsid w:val="00CB1AAB"/>
  </w:style>
  <w:style w:type="paragraph" w:styleId="CommentSubject">
    <w:name w:val="annotation subject"/>
    <w:basedOn w:val="CommentText"/>
    <w:next w:val="CommentText"/>
    <w:link w:val="CommentSubjectChar"/>
    <w:uiPriority w:val="99"/>
    <w:semiHidden/>
    <w:unhideWhenUsed/>
    <w:rsid w:val="00CB1AAB"/>
    <w:rPr>
      <w:b/>
      <w:bCs/>
    </w:rPr>
  </w:style>
  <w:style w:type="character" w:customStyle="1" w:styleId="CommentSubjectChar">
    <w:name w:val="Comment Subject Char"/>
    <w:basedOn w:val="CommentTextChar"/>
    <w:link w:val="CommentSubject"/>
    <w:uiPriority w:val="99"/>
    <w:semiHidden/>
    <w:rsid w:val="00CB1AAB"/>
    <w:rPr>
      <w:b/>
      <w:bCs/>
    </w:rPr>
  </w:style>
  <w:style w:type="character" w:styleId="UnresolvedMention">
    <w:name w:val="Unresolved Mention"/>
    <w:basedOn w:val="DefaultParagraphFont"/>
    <w:uiPriority w:val="99"/>
    <w:semiHidden/>
    <w:unhideWhenUsed/>
    <w:rsid w:val="00E34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sa-al.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rsa-al.gov/index.php/employers/financial-reports/gasb-68-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2080</Words>
  <Characters>12348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Benefield</dc:creator>
  <cp:keywords/>
  <dc:description/>
  <cp:lastModifiedBy>Taylor Benefield</cp:lastModifiedBy>
  <cp:revision>5</cp:revision>
  <cp:lastPrinted>2018-09-19T15:47:00Z</cp:lastPrinted>
  <dcterms:created xsi:type="dcterms:W3CDTF">2022-01-20T14:25:00Z</dcterms:created>
  <dcterms:modified xsi:type="dcterms:W3CDTF">2023-03-24T13:41:00Z</dcterms:modified>
</cp:coreProperties>
</file>