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F21C" w14:textId="77777777"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 xml:space="preserve">Illustration 2—Note Disclosures and Required Supplementary Information for a Single Employer (No </w:t>
      </w:r>
      <w:proofErr w:type="spellStart"/>
      <w:r w:rsidRPr="003A7EAC">
        <w:rPr>
          <w:rFonts w:ascii="Times New Roman" w:hAnsi="Times New Roman" w:cs="Times New Roman"/>
          <w:b/>
          <w:color w:val="2B2A29"/>
          <w:spacing w:val="-1"/>
          <w:sz w:val="24"/>
          <w:szCs w:val="24"/>
        </w:rPr>
        <w:t>Nonemployer</w:t>
      </w:r>
      <w:proofErr w:type="spellEnd"/>
      <w:r w:rsidRPr="003A7EAC">
        <w:rPr>
          <w:rFonts w:ascii="Times New Roman" w:hAnsi="Times New Roman" w:cs="Times New Roman"/>
          <w:b/>
          <w:color w:val="2B2A29"/>
          <w:spacing w:val="-1"/>
          <w:sz w:val="24"/>
          <w:szCs w:val="24"/>
        </w:rPr>
        <w:t xml:space="preserve"> Contributing Entities)</w:t>
      </w:r>
    </w:p>
    <w:p w14:paraId="11E2D75E" w14:textId="77777777"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14:paraId="466CF7A8" w14:textId="77777777"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14:paraId="5D65BEF2" w14:textId="77777777"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14:paraId="235B3EBB" w14:textId="77777777"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14:paraId="7E824639" w14:textId="6EF47322"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w:t>
      </w:r>
      <w:r w:rsidR="00316F01">
        <w:rPr>
          <w:rFonts w:ascii="Times New Roman" w:hAnsi="Times New Roman" w:cs="Times New Roman"/>
          <w:b/>
          <w:color w:val="2B2A29"/>
          <w:spacing w:val="-1"/>
          <w:sz w:val="20"/>
          <w:szCs w:val="20"/>
        </w:rPr>
        <w:t>2</w:t>
      </w:r>
      <w:r w:rsidR="00F61FC8">
        <w:rPr>
          <w:rFonts w:ascii="Times New Roman" w:hAnsi="Times New Roman" w:cs="Times New Roman"/>
          <w:b/>
          <w:color w:val="2B2A29"/>
          <w:spacing w:val="-1"/>
          <w:sz w:val="20"/>
          <w:szCs w:val="20"/>
        </w:rPr>
        <w:t>5</w:t>
      </w:r>
    </w:p>
    <w:p w14:paraId="66CD050C" w14:textId="77777777"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14:paraId="62477F70" w14:textId="77777777"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14:paraId="6BF0E2F9" w14:textId="77777777"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14:paraId="13404AE5"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14:paraId="2485DDFA" w14:textId="77777777"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14:paraId="3EA18ECC" w14:textId="77777777"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14:paraId="56EFECD1" w14:textId="77777777"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 xml:space="preserve">requirements of the Governmental Accounting Standards Board (GASB). Under these requirements, the Plan is considered a component unit of the State of Alabama and is included in the State’s </w:t>
      </w:r>
      <w:r w:rsidR="00D045E4">
        <w:rPr>
          <w:rFonts w:ascii="Times New Roman" w:eastAsia="Times New Roman" w:hAnsi="Times New Roman" w:cs="Times New Roman"/>
          <w:sz w:val="20"/>
          <w:szCs w:val="20"/>
        </w:rPr>
        <w:t>Annual Comprehensive Financial Report</w:t>
      </w:r>
      <w:r w:rsidRPr="0004552D">
        <w:rPr>
          <w:rFonts w:ascii="Times New Roman" w:eastAsia="Times New Roman" w:hAnsi="Times New Roman" w:cs="Times New Roman"/>
          <w:sz w:val="20"/>
          <w:szCs w:val="20"/>
        </w:rPr>
        <w:t>.</w:t>
      </w:r>
    </w:p>
    <w:p w14:paraId="4D5CFD6B"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0372D681" w14:textId="77777777"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14:paraId="679BC42A"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5DC16D07" w14:textId="77777777"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14:paraId="6080835A" w14:textId="77777777"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14:paraId="3D3BFD6B" w14:textId="77777777"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14:paraId="4175D706" w14:textId="77777777"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14:paraId="60C6E342" w14:textId="77777777"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14:paraId="49095243" w14:textId="77777777"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14:paraId="05A5B4C7" w14:textId="1624BFF6"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w:t>
      </w:r>
      <w:r w:rsidR="00DD118B" w:rsidRPr="0013199E">
        <w:rPr>
          <w:rFonts w:ascii="Times New Roman" w:eastAsia="Times New Roman" w:hAnsi="Times New Roman" w:cs="Times New Roman"/>
          <w:sz w:val="20"/>
          <w:szCs w:val="20"/>
        </w:rPr>
        <w:t>of 1</w:t>
      </w:r>
      <w:r w:rsidR="00090B0D" w:rsidRPr="0013199E">
        <w:rPr>
          <w:rFonts w:ascii="Times New Roman" w:eastAsia="Times New Roman" w:hAnsi="Times New Roman" w:cs="Times New Roman"/>
          <w:sz w:val="20"/>
          <w:szCs w:val="20"/>
        </w:rPr>
        <w:t>5</w:t>
      </w:r>
      <w:r w:rsidR="00DD118B" w:rsidRPr="0013199E">
        <w:rPr>
          <w:rFonts w:ascii="Times New Roman" w:eastAsia="Times New Roman" w:hAnsi="Times New Roman" w:cs="Times New Roman"/>
          <w:sz w:val="20"/>
          <w:szCs w:val="20"/>
        </w:rPr>
        <w:t xml:space="preserve"> trustees.</w:t>
      </w:r>
      <w:r w:rsidR="00594D32" w:rsidRPr="0013199E">
        <w:rPr>
          <w:rFonts w:ascii="Times New Roman" w:eastAsia="Times New Roman" w:hAnsi="Times New Roman" w:cs="Times New Roman"/>
          <w:sz w:val="20"/>
          <w:szCs w:val="20"/>
        </w:rPr>
        <w:t xml:space="preserve"> Act 390</w:t>
      </w:r>
      <w:r w:rsidR="00090B0D" w:rsidRPr="0013199E">
        <w:rPr>
          <w:rFonts w:ascii="Times New Roman" w:eastAsia="Times New Roman" w:hAnsi="Times New Roman" w:cs="Times New Roman"/>
          <w:sz w:val="20"/>
          <w:szCs w:val="20"/>
        </w:rPr>
        <w:t xml:space="preserve"> of the Legislature of 2021 created</w:t>
      </w:r>
      <w:r w:rsidR="00594D32" w:rsidRPr="0013199E">
        <w:rPr>
          <w:rFonts w:ascii="Times New Roman" w:eastAsia="Times New Roman" w:hAnsi="Times New Roman" w:cs="Times New Roman"/>
          <w:sz w:val="20"/>
          <w:szCs w:val="20"/>
        </w:rPr>
        <w:t xml:space="preserve"> two additional representatives to the ERS Board of Control</w:t>
      </w:r>
      <w:r w:rsidR="00DD118B" w:rsidRPr="0013199E">
        <w:rPr>
          <w:rFonts w:ascii="Times New Roman" w:eastAsia="Times New Roman" w:hAnsi="Times New Roman" w:cs="Times New Roman"/>
          <w:sz w:val="20"/>
          <w:szCs w:val="20"/>
        </w:rPr>
        <w:t xml:space="preserve"> </w:t>
      </w:r>
      <w:r w:rsidR="002870C4">
        <w:rPr>
          <w:rFonts w:ascii="Times New Roman" w:eastAsia="Times New Roman" w:hAnsi="Times New Roman" w:cs="Times New Roman"/>
          <w:sz w:val="20"/>
          <w:szCs w:val="20"/>
        </w:rPr>
        <w:t>e</w:t>
      </w:r>
      <w:r w:rsidR="00594D32" w:rsidRPr="0013199E">
        <w:rPr>
          <w:rFonts w:ascii="Times New Roman" w:eastAsia="Times New Roman" w:hAnsi="Times New Roman" w:cs="Times New Roman"/>
          <w:sz w:val="20"/>
          <w:szCs w:val="20"/>
        </w:rPr>
        <w:t>ffective October 1, 2021.</w:t>
      </w:r>
      <w:r w:rsidR="00594D32">
        <w:rPr>
          <w:rFonts w:ascii="Times New Roman" w:eastAsia="Times New Roman" w:hAnsi="Times New Roman" w:cs="Times New Roman"/>
          <w:sz w:val="20"/>
          <w:szCs w:val="20"/>
        </w:rPr>
        <w:t xml:space="preserve"> </w:t>
      </w:r>
      <w:r w:rsidR="00DD118B" w:rsidRPr="0004552D">
        <w:rPr>
          <w:rFonts w:ascii="Times New Roman" w:eastAsia="Times New Roman" w:hAnsi="Times New Roman" w:cs="Times New Roman"/>
          <w:sz w:val="20"/>
          <w:szCs w:val="20"/>
        </w:rPr>
        <w:t xml:space="preserve">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14:paraId="4114E101" w14:textId="77777777" w:rsidR="00215DD1" w:rsidRPr="00BA1384" w:rsidRDefault="00215DD1" w:rsidP="0004552D">
      <w:pPr>
        <w:pStyle w:val="BodyText3"/>
        <w:spacing w:line="240" w:lineRule="auto"/>
        <w:rPr>
          <w:rFonts w:eastAsiaTheme="minorEastAsia"/>
          <w:iCs/>
          <w:color w:val="2B2A29"/>
        </w:rPr>
      </w:pPr>
    </w:p>
    <w:p w14:paraId="5908AB5E" w14:textId="77777777" w:rsidR="00110EC0" w:rsidRPr="00BA1384" w:rsidRDefault="00110EC0" w:rsidP="00BA1384">
      <w:pPr>
        <w:pStyle w:val="BodyText3"/>
        <w:spacing w:line="240" w:lineRule="auto"/>
        <w:rPr>
          <w:rFonts w:eastAsiaTheme="minorEastAsia"/>
          <w:iCs/>
          <w:color w:val="2B2A29"/>
        </w:rPr>
      </w:pPr>
    </w:p>
    <w:p w14:paraId="3CA32458" w14:textId="77777777" w:rsidR="00110EC0" w:rsidRPr="00BA1384" w:rsidRDefault="00110EC0" w:rsidP="00BA1384">
      <w:pPr>
        <w:pStyle w:val="BodyText3"/>
        <w:spacing w:line="240" w:lineRule="auto"/>
        <w:rPr>
          <w:rFonts w:eastAsiaTheme="minorEastAsia"/>
          <w:iCs/>
          <w:color w:val="2B2A29"/>
        </w:rPr>
      </w:pPr>
    </w:p>
    <w:p w14:paraId="59B60CB9" w14:textId="77777777" w:rsidR="00110EC0" w:rsidRPr="00BA1384" w:rsidRDefault="00110EC0" w:rsidP="00BA1384">
      <w:pPr>
        <w:pStyle w:val="BodyText3"/>
        <w:spacing w:line="240" w:lineRule="auto"/>
        <w:rPr>
          <w:rFonts w:eastAsiaTheme="minorEastAsia"/>
          <w:iCs/>
          <w:color w:val="2B2A29"/>
        </w:rPr>
      </w:pPr>
    </w:p>
    <w:p w14:paraId="3812FD5C" w14:textId="77777777" w:rsidR="00110EC0" w:rsidRPr="00BA1384" w:rsidRDefault="00110EC0" w:rsidP="00BA1384">
      <w:pPr>
        <w:pStyle w:val="BodyText3"/>
        <w:spacing w:line="240" w:lineRule="auto"/>
        <w:rPr>
          <w:rFonts w:eastAsiaTheme="minorEastAsia"/>
          <w:iCs/>
          <w:color w:val="2B2A29"/>
        </w:rPr>
      </w:pPr>
    </w:p>
    <w:p w14:paraId="4B8E7854" w14:textId="77777777" w:rsidR="00110EC0" w:rsidRPr="00BA1384" w:rsidRDefault="00110EC0" w:rsidP="00BA1384">
      <w:pPr>
        <w:pStyle w:val="BodyText3"/>
        <w:spacing w:line="240" w:lineRule="auto"/>
        <w:rPr>
          <w:rFonts w:eastAsiaTheme="minorEastAsia"/>
          <w:iCs/>
          <w:color w:val="2B2A29"/>
        </w:rPr>
      </w:pPr>
    </w:p>
    <w:p w14:paraId="33AB1A6A" w14:textId="77777777" w:rsidR="00110EC0" w:rsidRDefault="00110EC0" w:rsidP="00BA1384">
      <w:pPr>
        <w:pStyle w:val="BodyText3"/>
        <w:spacing w:line="240" w:lineRule="auto"/>
      </w:pPr>
    </w:p>
    <w:p w14:paraId="46211D90" w14:textId="77777777" w:rsidR="00BA1384" w:rsidRDefault="00BA1384" w:rsidP="00BA1384">
      <w:pPr>
        <w:pStyle w:val="BodyText3"/>
        <w:spacing w:line="240" w:lineRule="auto"/>
      </w:pPr>
    </w:p>
    <w:p w14:paraId="7F77FAF8" w14:textId="77777777" w:rsidR="003A7EAC" w:rsidRDefault="003A7EAC" w:rsidP="00BA1384">
      <w:pPr>
        <w:pStyle w:val="BodyText3"/>
        <w:spacing w:line="240" w:lineRule="auto"/>
      </w:pPr>
    </w:p>
    <w:p w14:paraId="38E3FE3F" w14:textId="77777777" w:rsidR="003A7EAC" w:rsidRDefault="003A7EAC" w:rsidP="00BA1384">
      <w:pPr>
        <w:pStyle w:val="BodyText3"/>
        <w:spacing w:line="240" w:lineRule="auto"/>
      </w:pPr>
    </w:p>
    <w:p w14:paraId="1D9D7DFF" w14:textId="77777777" w:rsidR="003A7EAC" w:rsidRPr="00BA1384" w:rsidRDefault="003A7EAC" w:rsidP="00BA1384">
      <w:pPr>
        <w:pStyle w:val="BodyText3"/>
        <w:spacing w:line="240" w:lineRule="auto"/>
      </w:pPr>
    </w:p>
    <w:p w14:paraId="3DF76193" w14:textId="77777777" w:rsidR="00215DD1" w:rsidRPr="0013199E" w:rsidRDefault="00215DD1" w:rsidP="00BA1384">
      <w:pPr>
        <w:pStyle w:val="BodyText3"/>
        <w:spacing w:line="240" w:lineRule="auto"/>
      </w:pPr>
      <w:r w:rsidRPr="00BA1384">
        <w:t xml:space="preserve">The ERS Board of Control consists of </w:t>
      </w:r>
      <w:r w:rsidRPr="0013199E">
        <w:t>1</w:t>
      </w:r>
      <w:r w:rsidR="00F47A28" w:rsidRPr="0013199E">
        <w:t>5</w:t>
      </w:r>
      <w:r w:rsidRPr="0013199E">
        <w:t xml:space="preserve"> trustees as follows:</w:t>
      </w:r>
    </w:p>
    <w:p w14:paraId="5667183F" w14:textId="77777777" w:rsidR="00215DD1" w:rsidRPr="0013199E" w:rsidRDefault="00215DD1" w:rsidP="00BA1384">
      <w:pPr>
        <w:pStyle w:val="BodyText3"/>
        <w:spacing w:line="240" w:lineRule="auto"/>
      </w:pPr>
    </w:p>
    <w:p w14:paraId="4C1A0C8A" w14:textId="77777777" w:rsidR="00215DD1" w:rsidRPr="0013199E" w:rsidRDefault="00215DD1" w:rsidP="00BA1384">
      <w:pPr>
        <w:pStyle w:val="BodyText3"/>
        <w:numPr>
          <w:ilvl w:val="0"/>
          <w:numId w:val="1"/>
        </w:numPr>
        <w:spacing w:line="240" w:lineRule="auto"/>
      </w:pPr>
      <w:r w:rsidRPr="0013199E">
        <w:t>The Governor, ex officio.</w:t>
      </w:r>
    </w:p>
    <w:p w14:paraId="1E5FFA4E" w14:textId="77777777" w:rsidR="00215DD1" w:rsidRPr="0013199E" w:rsidRDefault="00215DD1" w:rsidP="00BA1384">
      <w:pPr>
        <w:pStyle w:val="BodyText3"/>
        <w:numPr>
          <w:ilvl w:val="0"/>
          <w:numId w:val="1"/>
        </w:numPr>
        <w:spacing w:line="240" w:lineRule="auto"/>
      </w:pPr>
      <w:r w:rsidRPr="0013199E">
        <w:t>The State Treasurer, ex officio.</w:t>
      </w:r>
    </w:p>
    <w:p w14:paraId="63123297" w14:textId="77777777" w:rsidR="00215DD1" w:rsidRPr="0013199E" w:rsidRDefault="00215DD1" w:rsidP="00BA1384">
      <w:pPr>
        <w:pStyle w:val="BodyText3"/>
        <w:numPr>
          <w:ilvl w:val="0"/>
          <w:numId w:val="1"/>
        </w:numPr>
        <w:spacing w:line="240" w:lineRule="auto"/>
      </w:pPr>
      <w:r w:rsidRPr="0013199E">
        <w:t>The State Personnel Director, ex officio.</w:t>
      </w:r>
    </w:p>
    <w:p w14:paraId="4C2BA3CC" w14:textId="77777777" w:rsidR="00215DD1" w:rsidRPr="0013199E" w:rsidRDefault="00215DD1" w:rsidP="00BA1384">
      <w:pPr>
        <w:pStyle w:val="BodyText3"/>
        <w:numPr>
          <w:ilvl w:val="0"/>
          <w:numId w:val="1"/>
        </w:numPr>
        <w:spacing w:line="240" w:lineRule="auto"/>
      </w:pPr>
      <w:r w:rsidRPr="0013199E">
        <w:t>The State Director of Finance, ex officio.</w:t>
      </w:r>
    </w:p>
    <w:p w14:paraId="413793E3" w14:textId="77777777" w:rsidR="00215DD1" w:rsidRPr="0013199E" w:rsidRDefault="00215DD1" w:rsidP="00BA1384">
      <w:pPr>
        <w:pStyle w:val="BodyText3"/>
        <w:numPr>
          <w:ilvl w:val="0"/>
          <w:numId w:val="1"/>
        </w:numPr>
        <w:spacing w:line="240" w:lineRule="auto"/>
      </w:pPr>
      <w:r w:rsidRPr="0013199E">
        <w:t>Three vested members of ERS appointed by the Governor for a term of four years, no two of whom are from the same department of state government nor from any department of which an ex officio trustee is the head.</w:t>
      </w:r>
    </w:p>
    <w:p w14:paraId="0C314FF2" w14:textId="77777777" w:rsidR="00215DD1" w:rsidRPr="0013199E" w:rsidRDefault="00F513BE" w:rsidP="00BA1384">
      <w:pPr>
        <w:pStyle w:val="BodyText3"/>
        <w:numPr>
          <w:ilvl w:val="0"/>
          <w:numId w:val="1"/>
        </w:numPr>
        <w:spacing w:line="240" w:lineRule="auto"/>
      </w:pPr>
      <w:r w:rsidRPr="0013199E">
        <w:t>Eight</w:t>
      </w:r>
      <w:r w:rsidR="00215DD1" w:rsidRPr="0013199E">
        <w:t xml:space="preserve"> members of ERS who are elected by members from the same category of ERS for a term of four years as follows:</w:t>
      </w:r>
    </w:p>
    <w:p w14:paraId="5AD4C0A4" w14:textId="77777777" w:rsidR="00215DD1" w:rsidRPr="0013199E" w:rsidRDefault="00215DD1" w:rsidP="00BA1384">
      <w:pPr>
        <w:pStyle w:val="BodyText3"/>
        <w:numPr>
          <w:ilvl w:val="1"/>
          <w:numId w:val="1"/>
        </w:numPr>
        <w:spacing w:line="240" w:lineRule="auto"/>
      </w:pPr>
      <w:r w:rsidRPr="0013199E">
        <w:t>Two retired members with one from the ranks of retired state employees and one from the ranks of retired employees of a city, county, or a public agency each of whom is an active beneficiary of ERS.</w:t>
      </w:r>
    </w:p>
    <w:p w14:paraId="2EEF4997" w14:textId="77777777" w:rsidR="00215DD1" w:rsidRPr="0013199E" w:rsidRDefault="00215DD1" w:rsidP="00BA1384">
      <w:pPr>
        <w:pStyle w:val="BodyText3"/>
        <w:numPr>
          <w:ilvl w:val="1"/>
          <w:numId w:val="1"/>
        </w:numPr>
        <w:spacing w:line="240" w:lineRule="auto"/>
      </w:pPr>
      <w:r w:rsidRPr="0013199E">
        <w:t>Two vested active state employees.</w:t>
      </w:r>
    </w:p>
    <w:p w14:paraId="2CE702EB" w14:textId="5DF2F0D7" w:rsidR="00F513BE" w:rsidRPr="0013199E" w:rsidRDefault="00F513BE" w:rsidP="00F513BE">
      <w:pPr>
        <w:pStyle w:val="BodyText3"/>
        <w:numPr>
          <w:ilvl w:val="1"/>
          <w:numId w:val="1"/>
        </w:numPr>
        <w:spacing w:line="240" w:lineRule="auto"/>
      </w:pPr>
      <w:r w:rsidRPr="0013199E">
        <w:t xml:space="preserve">One </w:t>
      </w:r>
      <w:r w:rsidR="00A854EE">
        <w:t>vested active</w:t>
      </w:r>
      <w:r w:rsidRPr="0013199E">
        <w:t xml:space="preserve"> employee of a participating municipality or city in ERS pursuant to the </w:t>
      </w:r>
      <w:r w:rsidRPr="0013199E">
        <w:rPr>
          <w:i/>
        </w:rPr>
        <w:t>Code of Alabama 1975, Section 36-27-6</w:t>
      </w:r>
      <w:r w:rsidRPr="0013199E">
        <w:t>.</w:t>
      </w:r>
    </w:p>
    <w:p w14:paraId="3567BBC7" w14:textId="057E631F" w:rsidR="00F513BE" w:rsidRPr="0013199E" w:rsidRDefault="00F513BE" w:rsidP="00F513BE">
      <w:pPr>
        <w:pStyle w:val="BodyText3"/>
        <w:numPr>
          <w:ilvl w:val="1"/>
          <w:numId w:val="1"/>
        </w:numPr>
        <w:spacing w:line="240" w:lineRule="auto"/>
      </w:pPr>
      <w:r w:rsidRPr="0013199E">
        <w:t xml:space="preserve">One </w:t>
      </w:r>
      <w:r w:rsidR="00A854EE">
        <w:t>vested active</w:t>
      </w:r>
      <w:r w:rsidRPr="0013199E">
        <w:t xml:space="preserve"> employee of a participating county in ERS pursuant to the </w:t>
      </w:r>
      <w:r w:rsidRPr="0013199E">
        <w:rPr>
          <w:i/>
        </w:rPr>
        <w:t>Code of Alabama 1975, Section 36-27-6</w:t>
      </w:r>
      <w:r w:rsidRPr="0013199E">
        <w:t>.</w:t>
      </w:r>
    </w:p>
    <w:p w14:paraId="679B82EE" w14:textId="33DE67AD" w:rsidR="001702F5" w:rsidRPr="0013199E" w:rsidRDefault="001702F5" w:rsidP="001702F5">
      <w:pPr>
        <w:pStyle w:val="BodyText3"/>
        <w:numPr>
          <w:ilvl w:val="1"/>
          <w:numId w:val="1"/>
        </w:numPr>
        <w:spacing w:line="240" w:lineRule="auto"/>
      </w:pPr>
      <w:r w:rsidRPr="0013199E">
        <w:t xml:space="preserve">One </w:t>
      </w:r>
      <w:r w:rsidR="00A854EE">
        <w:t>vested active</w:t>
      </w:r>
      <w:r w:rsidRPr="0013199E">
        <w:t xml:space="preserve"> employee or retiree of a participating employer in ERS pursuant to the </w:t>
      </w:r>
      <w:r w:rsidRPr="0013199E">
        <w:rPr>
          <w:i/>
        </w:rPr>
        <w:t>Code of Alabama 1975, Section 36-27-6</w:t>
      </w:r>
      <w:r w:rsidRPr="0013199E">
        <w:t>.</w:t>
      </w:r>
    </w:p>
    <w:p w14:paraId="53FAC2CB" w14:textId="39CA766B" w:rsidR="001702F5" w:rsidRPr="0013199E" w:rsidRDefault="001702F5" w:rsidP="001702F5">
      <w:pPr>
        <w:pStyle w:val="BodyText3"/>
        <w:numPr>
          <w:ilvl w:val="1"/>
          <w:numId w:val="1"/>
        </w:numPr>
        <w:spacing w:line="240" w:lineRule="auto"/>
      </w:pPr>
      <w:r w:rsidRPr="0013199E">
        <w:t xml:space="preserve">One </w:t>
      </w:r>
      <w:r w:rsidR="00A854EE">
        <w:t>vested active</w:t>
      </w:r>
      <w:r w:rsidRPr="0013199E">
        <w:t xml:space="preserve"> employee of a participating employer other than a municipality, </w:t>
      </w:r>
      <w:proofErr w:type="gramStart"/>
      <w:r w:rsidRPr="0013199E">
        <w:t>city</w:t>
      </w:r>
      <w:proofErr w:type="gramEnd"/>
      <w:r w:rsidRPr="0013199E">
        <w:t xml:space="preserve"> or county in ERS pursuant to the </w:t>
      </w:r>
      <w:r w:rsidRPr="0013199E">
        <w:rPr>
          <w:i/>
        </w:rPr>
        <w:t>Code of Alabama 1975, Section 36-27-6</w:t>
      </w:r>
      <w:r w:rsidRPr="0013199E">
        <w:t>.</w:t>
      </w:r>
    </w:p>
    <w:p w14:paraId="560FD9E2" w14:textId="77777777" w:rsidR="001702F5" w:rsidRPr="0004552D" w:rsidRDefault="001702F5" w:rsidP="001702F5">
      <w:pPr>
        <w:pStyle w:val="BodyText3"/>
        <w:spacing w:line="240" w:lineRule="auto"/>
        <w:ind w:left="1800"/>
      </w:pPr>
    </w:p>
    <w:p w14:paraId="3926A1C5" w14:textId="77777777"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14:paraId="1A18E746" w14:textId="77777777"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14:paraId="486D20B3" w14:textId="3C8F48A2"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 xml:space="preserve">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w:t>
      </w:r>
      <w:r w:rsidR="002870C4">
        <w:rPr>
          <w:rFonts w:ascii="Times New Roman" w:eastAsia="Times New Roman" w:hAnsi="Times New Roman" w:cs="Times New Roman"/>
          <w:sz w:val="20"/>
          <w:szCs w:val="20"/>
        </w:rPr>
        <w:t xml:space="preserve">creditable </w:t>
      </w:r>
      <w:r w:rsidRPr="00BA1384">
        <w:rPr>
          <w:rFonts w:ascii="Times New Roman" w:eastAsia="Times New Roman" w:hAnsi="Times New Roman" w:cs="Times New Roman"/>
          <w:sz w:val="20"/>
          <w:szCs w:val="20"/>
        </w:rPr>
        <w:t>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 xml:space="preserve">able service or with 25 or 30 years of service (regardless of age), depending on the </w:t>
      </w:r>
      <w:proofErr w:type="gramStart"/>
      <w:r w:rsidRPr="0004552D">
        <w:rPr>
          <w:rFonts w:ascii="Times New Roman" w:eastAsia="Times New Roman" w:hAnsi="Times New Roman" w:cs="Times New Roman"/>
          <w:sz w:val="20"/>
          <w:szCs w:val="20"/>
        </w:rPr>
        <w:t>particular entity’s</w:t>
      </w:r>
      <w:proofErr w:type="gramEnd"/>
      <w:r w:rsidRPr="0004552D">
        <w:rPr>
          <w:rFonts w:ascii="Times New Roman" w:eastAsia="Times New Roman" w:hAnsi="Times New Roman" w:cs="Times New Roman"/>
          <w:sz w:val="20"/>
          <w:szCs w:val="20"/>
        </w:rPr>
        <w:t xml:space="preserve">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14:paraId="1D8C5CAE" w14:textId="77777777" w:rsidR="00110EC0" w:rsidRPr="0004552D" w:rsidRDefault="00110EC0" w:rsidP="0004552D">
      <w:pPr>
        <w:pStyle w:val="BodyText"/>
        <w:spacing w:after="0" w:line="240" w:lineRule="auto"/>
        <w:jc w:val="both"/>
        <w:rPr>
          <w:rFonts w:ascii="Times New Roman" w:hAnsi="Times New Roman" w:cs="Times New Roman"/>
          <w:sz w:val="20"/>
          <w:szCs w:val="20"/>
        </w:rPr>
      </w:pPr>
    </w:p>
    <w:p w14:paraId="2CCC3709" w14:textId="77777777"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formula method. Under the formula method, Tier 2 members of the ERS (except State Police) are allowed 1.65% of their average final compensation (highest 5 of the last 10 years) for each year of service</w:t>
      </w:r>
      <w:r w:rsidR="009471AE">
        <w:rPr>
          <w:rFonts w:ascii="Times New Roman" w:eastAsia="Times New Roman" w:hAnsi="Times New Roman" w:cs="Times New Roman"/>
          <w:sz w:val="20"/>
          <w:szCs w:val="20"/>
        </w:rPr>
        <w:t xml:space="preserve"> up to 80% of their average final compensation</w:t>
      </w:r>
      <w:r w:rsidRPr="0004552D">
        <w:rPr>
          <w:rFonts w:ascii="Times New Roman" w:eastAsia="Times New Roman" w:hAnsi="Times New Roman" w:cs="Times New Roman"/>
          <w:sz w:val="20"/>
          <w:szCs w:val="20"/>
        </w:rPr>
        <w:t xml:space="preserve">. State Police are allowed 2.375% for each year of </w:t>
      </w:r>
      <w:r w:rsidR="009471AE">
        <w:rPr>
          <w:rFonts w:ascii="Times New Roman" w:eastAsia="Times New Roman" w:hAnsi="Times New Roman" w:cs="Times New Roman"/>
          <w:sz w:val="20"/>
          <w:szCs w:val="20"/>
        </w:rPr>
        <w:t>S</w:t>
      </w:r>
      <w:r w:rsidRPr="0004552D">
        <w:rPr>
          <w:rFonts w:ascii="Times New Roman" w:eastAsia="Times New Roman" w:hAnsi="Times New Roman" w:cs="Times New Roman"/>
          <w:sz w:val="20"/>
          <w:szCs w:val="20"/>
        </w:rPr>
        <w:t xml:space="preserve">tate </w:t>
      </w:r>
      <w:r w:rsidR="009471AE">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olice service in computing the formula method.</w:t>
      </w:r>
    </w:p>
    <w:p w14:paraId="3168141C" w14:textId="77777777"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14:paraId="043440B2" w14:textId="2296AF1F" w:rsidR="002870C4" w:rsidRDefault="002870C4"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 351 of the Legislature of 2022 provides that nay Tier 2 member who withdraw from service after the completion of at least 30 years of service is entitled to an annual retirement benefit. </w:t>
      </w:r>
    </w:p>
    <w:p w14:paraId="09C8FE9F" w14:textId="77777777" w:rsidR="002870C4" w:rsidRDefault="002870C4"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14:paraId="00D846B9" w14:textId="5FE235BB" w:rsidR="00C81438"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14:paraId="041DE4CD" w14:textId="77777777" w:rsidR="00090B0D" w:rsidRDefault="00090B0D"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14:paraId="7AF369B6" w14:textId="77777777" w:rsidR="002870C4" w:rsidRDefault="002870C4" w:rsidP="00524A81">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14:paraId="2AC82247" w14:textId="7EDCE2BD" w:rsidR="00524A81" w:rsidRDefault="00090B0D" w:rsidP="00524A81">
      <w:pPr>
        <w:widowControl w:val="0"/>
        <w:autoSpaceDE w:val="0"/>
        <w:autoSpaceDN w:val="0"/>
        <w:adjustRightInd w:val="0"/>
        <w:spacing w:after="0" w:line="240" w:lineRule="auto"/>
        <w:ind w:left="20" w:right="48"/>
        <w:jc w:val="both"/>
        <w:rPr>
          <w:rFonts w:ascii="Times New Roman" w:hAnsi="Times New Roman" w:cs="Times New Roman"/>
          <w:iCs/>
          <w:sz w:val="20"/>
          <w:szCs w:val="20"/>
        </w:rPr>
      </w:pPr>
      <w:r w:rsidRPr="00B035E0">
        <w:rPr>
          <w:rFonts w:ascii="Times New Roman" w:eastAsia="Times New Roman" w:hAnsi="Times New Roman" w:cs="Times New Roman"/>
          <w:sz w:val="20"/>
          <w:szCs w:val="20"/>
        </w:rPr>
        <w:lastRenderedPageBreak/>
        <w:t xml:space="preserve">Act 132 of the Legislature of 2019 allowed employers who </w:t>
      </w:r>
      <w:bookmarkStart w:id="2" w:name="_Hlk76734021"/>
      <w:r w:rsidRPr="00B035E0">
        <w:rPr>
          <w:rFonts w:ascii="Times New Roman" w:eastAsia="Times New Roman" w:hAnsi="Times New Roman" w:cs="Times New Roman"/>
          <w:sz w:val="20"/>
          <w:szCs w:val="20"/>
        </w:rPr>
        <w:t xml:space="preserve">participate in the ERS pursuant to </w:t>
      </w:r>
      <w:bookmarkStart w:id="3" w:name="Pg210"/>
      <w:bookmarkEnd w:id="3"/>
      <w:r w:rsidRPr="00B035E0">
        <w:rPr>
          <w:rFonts w:ascii="Times New Roman" w:hAnsi="Times New Roman" w:cs="Times New Roman"/>
          <w:i/>
          <w:sz w:val="20"/>
          <w:szCs w:val="20"/>
        </w:rPr>
        <w:t>Code of Alabama 1975, Section 36-27-6</w:t>
      </w:r>
      <w:bookmarkEnd w:id="2"/>
      <w:r w:rsidRPr="00B035E0">
        <w:rPr>
          <w:rFonts w:ascii="Times New Roman" w:hAnsi="Times New Roman" w:cs="Times New Roman"/>
          <w:i/>
          <w:sz w:val="20"/>
          <w:szCs w:val="20"/>
        </w:rPr>
        <w:t xml:space="preserve"> </w:t>
      </w:r>
      <w:r w:rsidRPr="00B035E0">
        <w:rPr>
          <w:rFonts w:ascii="Times New Roman" w:hAnsi="Times New Roman" w:cs="Times New Roman"/>
          <w:iCs/>
          <w:sz w:val="20"/>
          <w:szCs w:val="20"/>
        </w:rPr>
        <w:t>to provide Tier 1 retirement benefits to their Tier 2 members. Tier 2 members</w:t>
      </w:r>
      <w:r w:rsidR="00F9304C" w:rsidRPr="00B035E0">
        <w:rPr>
          <w:rFonts w:ascii="Times New Roman" w:hAnsi="Times New Roman" w:cs="Times New Roman"/>
          <w:iCs/>
          <w:sz w:val="20"/>
          <w:szCs w:val="20"/>
        </w:rPr>
        <w:t xml:space="preserve"> of employers adopting Act 2019-132</w:t>
      </w:r>
      <w:r w:rsidRPr="00B035E0">
        <w:rPr>
          <w:rFonts w:ascii="Times New Roman" w:hAnsi="Times New Roman" w:cs="Times New Roman"/>
          <w:iCs/>
          <w:sz w:val="20"/>
          <w:szCs w:val="20"/>
        </w:rPr>
        <w:t xml:space="preserve"> will contribut</w:t>
      </w:r>
      <w:r w:rsidR="00095C3C" w:rsidRPr="00B035E0">
        <w:rPr>
          <w:rFonts w:ascii="Times New Roman" w:hAnsi="Times New Roman" w:cs="Times New Roman"/>
          <w:iCs/>
          <w:sz w:val="20"/>
          <w:szCs w:val="20"/>
        </w:rPr>
        <w:t xml:space="preserve">e </w:t>
      </w:r>
      <w:r w:rsidRPr="00B035E0">
        <w:rPr>
          <w:rFonts w:ascii="Times New Roman" w:hAnsi="Times New Roman" w:cs="Times New Roman"/>
          <w:iCs/>
          <w:sz w:val="20"/>
          <w:szCs w:val="20"/>
        </w:rPr>
        <w:t>7.5%</w:t>
      </w:r>
      <w:r w:rsidR="00095C3C" w:rsidRPr="00B035E0">
        <w:rPr>
          <w:rFonts w:ascii="Times New Roman" w:hAnsi="Times New Roman" w:cs="Times New Roman"/>
          <w:iCs/>
          <w:sz w:val="20"/>
          <w:szCs w:val="20"/>
        </w:rPr>
        <w:t xml:space="preserve"> of earnable compensation</w:t>
      </w:r>
      <w:r w:rsidRPr="00B035E0">
        <w:rPr>
          <w:rFonts w:ascii="Times New Roman" w:hAnsi="Times New Roman" w:cs="Times New Roman"/>
          <w:iCs/>
          <w:sz w:val="20"/>
          <w:szCs w:val="20"/>
        </w:rPr>
        <w:t xml:space="preserve"> for regular employees and 8.5% for firefighters and law enforcement officers. </w:t>
      </w:r>
      <w:r w:rsidRPr="00493FA7">
        <w:rPr>
          <w:rFonts w:ascii="Times New Roman" w:hAnsi="Times New Roman" w:cs="Times New Roman"/>
          <w:iCs/>
          <w:sz w:val="20"/>
          <w:szCs w:val="20"/>
        </w:rPr>
        <w:t>A total of</w:t>
      </w:r>
      <w:r w:rsidR="00EF1E30" w:rsidRPr="00493FA7">
        <w:rPr>
          <w:rFonts w:ascii="Times New Roman" w:hAnsi="Times New Roman" w:cs="Times New Roman"/>
          <w:iCs/>
          <w:sz w:val="20"/>
          <w:szCs w:val="20"/>
        </w:rPr>
        <w:t xml:space="preserve"> 6</w:t>
      </w:r>
      <w:r w:rsidR="00524A81">
        <w:rPr>
          <w:rFonts w:ascii="Times New Roman" w:hAnsi="Times New Roman" w:cs="Times New Roman"/>
          <w:iCs/>
          <w:sz w:val="20"/>
          <w:szCs w:val="20"/>
        </w:rPr>
        <w:t>2</w:t>
      </w:r>
      <w:r w:rsidR="00493FA7" w:rsidRPr="00493FA7">
        <w:rPr>
          <w:rFonts w:ascii="Times New Roman" w:hAnsi="Times New Roman" w:cs="Times New Roman"/>
          <w:iCs/>
          <w:sz w:val="20"/>
          <w:szCs w:val="20"/>
        </w:rPr>
        <w:t>8</w:t>
      </w:r>
      <w:r w:rsidRPr="00493FA7">
        <w:rPr>
          <w:rFonts w:ascii="Times New Roman" w:hAnsi="Times New Roman" w:cs="Times New Roman"/>
          <w:iCs/>
          <w:sz w:val="20"/>
          <w:szCs w:val="20"/>
        </w:rPr>
        <w:t xml:space="preserve"> </w:t>
      </w:r>
      <w:r w:rsidR="00F9304C" w:rsidRPr="00493FA7">
        <w:rPr>
          <w:rFonts w:ascii="Times New Roman" w:hAnsi="Times New Roman" w:cs="Times New Roman"/>
          <w:iCs/>
          <w:sz w:val="20"/>
          <w:szCs w:val="20"/>
        </w:rPr>
        <w:t>employers adopted Act 2019-132</w:t>
      </w:r>
      <w:r w:rsidR="00EF1E30" w:rsidRPr="00493FA7">
        <w:rPr>
          <w:rFonts w:ascii="Times New Roman" w:hAnsi="Times New Roman" w:cs="Times New Roman"/>
          <w:iCs/>
          <w:sz w:val="20"/>
          <w:szCs w:val="20"/>
        </w:rPr>
        <w:t xml:space="preserve"> as of September 30, 202</w:t>
      </w:r>
      <w:r w:rsidR="00524A81">
        <w:rPr>
          <w:rFonts w:ascii="Times New Roman" w:hAnsi="Times New Roman" w:cs="Times New Roman"/>
          <w:iCs/>
          <w:sz w:val="20"/>
          <w:szCs w:val="20"/>
        </w:rPr>
        <w:t>4</w:t>
      </w:r>
      <w:r w:rsidR="00F9304C" w:rsidRPr="00493FA7">
        <w:rPr>
          <w:rFonts w:ascii="Times New Roman" w:hAnsi="Times New Roman" w:cs="Times New Roman"/>
          <w:iCs/>
          <w:sz w:val="20"/>
          <w:szCs w:val="20"/>
        </w:rPr>
        <w:t>.</w:t>
      </w:r>
    </w:p>
    <w:p w14:paraId="23FFA478" w14:textId="47A5E30F" w:rsidR="00524A81" w:rsidRDefault="00524A81" w:rsidP="00524A81">
      <w:pPr>
        <w:widowControl w:val="0"/>
        <w:autoSpaceDE w:val="0"/>
        <w:autoSpaceDN w:val="0"/>
        <w:adjustRightInd w:val="0"/>
        <w:spacing w:after="0" w:line="240" w:lineRule="auto"/>
        <w:ind w:left="20" w:right="48"/>
        <w:jc w:val="both"/>
        <w:rPr>
          <w:rFonts w:ascii="Times New Roman" w:hAnsi="Times New Roman" w:cs="Times New Roman"/>
          <w:iCs/>
          <w:sz w:val="20"/>
          <w:szCs w:val="20"/>
        </w:rPr>
      </w:pPr>
      <w:r w:rsidRPr="00524A81">
        <w:rPr>
          <w:rFonts w:ascii="Times New Roman" w:hAnsi="Times New Roman" w:cs="Times New Roman"/>
          <w:iCs/>
          <w:sz w:val="20"/>
          <w:szCs w:val="20"/>
        </w:rPr>
        <w:t>Act 2019-132 was amended by Act 348 of the Legislature of 2022. Act 2022-348 amended Act 2019-132 by removing the date limitation for any local participating employer to submit its resolution electing to provide its Tier 2 members with the same retirement benefits provided to its Tier 1 members. Act 2022-348 also amended Act 2019-132 by removing the date limitation for a local participating employer to petition the ERS Board of Control for a reconsideration if the ERS Board of Control denied its election to provide its Tier 2 members with the same retirement benefits provided to its Tier 1 members.</w:t>
      </w:r>
      <w:r>
        <w:rPr>
          <w:rFonts w:ascii="Times New Roman" w:hAnsi="Times New Roman" w:cs="Times New Roman"/>
          <w:iCs/>
          <w:sz w:val="20"/>
          <w:szCs w:val="20"/>
        </w:rPr>
        <w:t xml:space="preserve">                   </w:t>
      </w:r>
    </w:p>
    <w:p w14:paraId="09DF4BCB" w14:textId="5AD7CDD1" w:rsidR="00F74052" w:rsidRDefault="00F9304C" w:rsidP="00524A81">
      <w:pPr>
        <w:widowControl w:val="0"/>
        <w:autoSpaceDE w:val="0"/>
        <w:autoSpaceDN w:val="0"/>
        <w:adjustRightInd w:val="0"/>
        <w:spacing w:after="0" w:line="240" w:lineRule="auto"/>
        <w:ind w:left="20" w:right="48"/>
        <w:jc w:val="both"/>
        <w:rPr>
          <w:rFonts w:ascii="Times New Roman" w:hAnsi="Times New Roman" w:cs="Times New Roman"/>
          <w:iCs/>
          <w:sz w:val="20"/>
          <w:szCs w:val="20"/>
        </w:rPr>
      </w:pPr>
      <w:r>
        <w:rPr>
          <w:rFonts w:ascii="Times New Roman" w:hAnsi="Times New Roman" w:cs="Times New Roman"/>
          <w:iCs/>
          <w:sz w:val="20"/>
          <w:szCs w:val="20"/>
        </w:rPr>
        <w:t xml:space="preserve"> </w:t>
      </w:r>
    </w:p>
    <w:p w14:paraId="566B5603" w14:textId="77777777" w:rsidR="00D045E4" w:rsidRPr="00090B0D" w:rsidRDefault="00D045E4" w:rsidP="00090B0D">
      <w:pPr>
        <w:widowControl w:val="0"/>
        <w:autoSpaceDE w:val="0"/>
        <w:autoSpaceDN w:val="0"/>
        <w:adjustRightInd w:val="0"/>
        <w:spacing w:after="0" w:line="240" w:lineRule="auto"/>
        <w:ind w:left="20" w:right="48"/>
        <w:jc w:val="both"/>
        <w:rPr>
          <w:rFonts w:ascii="Times New Roman" w:eastAsia="Calibri" w:hAnsi="Times New Roman" w:cs="Times New Roman"/>
          <w:iCs/>
          <w:sz w:val="20"/>
          <w:szCs w:val="20"/>
        </w:rPr>
      </w:pPr>
      <w:r>
        <w:rPr>
          <w:rFonts w:ascii="Times New Roman" w:hAnsi="Times New Roman" w:cs="Times New Roman"/>
          <w:iCs/>
          <w:sz w:val="20"/>
          <w:szCs w:val="20"/>
        </w:rPr>
        <w:t xml:space="preserve">Act 316 of the Legislature of 2019 allows employees </w:t>
      </w:r>
      <w:r w:rsidR="009471AE">
        <w:rPr>
          <w:rFonts w:ascii="Times New Roman" w:hAnsi="Times New Roman" w:cs="Times New Roman"/>
          <w:iCs/>
          <w:sz w:val="20"/>
          <w:szCs w:val="20"/>
        </w:rPr>
        <w:t xml:space="preserve">at the time of retirement to receive a partial lump sum (PLOP) distribution as a single payment not to exceed the sum of 24 months of the maximum monthly retirement allowance the member could receive. This option may be selected in addition to the election of another retirement allowance option at a reduced amount based upon the amount of partial lump sum distribution selected. </w:t>
      </w:r>
      <w:r>
        <w:rPr>
          <w:rFonts w:ascii="Times New Roman" w:hAnsi="Times New Roman" w:cs="Times New Roman"/>
          <w:iCs/>
          <w:sz w:val="20"/>
          <w:szCs w:val="20"/>
        </w:rPr>
        <w:t xml:space="preserve"> </w:t>
      </w:r>
    </w:p>
    <w:p w14:paraId="6ECF928D" w14:textId="77777777"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2C3618FF" w14:textId="77777777"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3269A629" w14:textId="3C7CE196" w:rsidR="00F74052" w:rsidRPr="00240B89" w:rsidRDefault="000E6C24" w:rsidP="0004552D">
      <w:pPr>
        <w:pStyle w:val="BodyText3"/>
        <w:spacing w:line="240" w:lineRule="auto"/>
        <w:jc w:val="left"/>
      </w:pPr>
      <w:r w:rsidRPr="00240B89">
        <w:t xml:space="preserve">The ERS serves approximately </w:t>
      </w:r>
      <w:r w:rsidR="00F61FC8">
        <w:t>890</w:t>
      </w:r>
      <w:r w:rsidR="00F74052" w:rsidRPr="00240B89">
        <w:t xml:space="preserve"> local participating employers</w:t>
      </w:r>
      <w:r w:rsidR="00B3652A">
        <w:t xml:space="preserve"> and one state employer</w:t>
      </w:r>
      <w:r w:rsidR="00F74052" w:rsidRPr="00240B89">
        <w:t>. The ERS membersh</w:t>
      </w:r>
      <w:r w:rsidR="00426AA7" w:rsidRPr="00240B89">
        <w:t xml:space="preserve">ip includes approximately </w:t>
      </w:r>
      <w:r w:rsidR="0072353B">
        <w:t>11</w:t>
      </w:r>
      <w:r w:rsidR="00F61FC8">
        <w:t>7</w:t>
      </w:r>
      <w:r w:rsidR="0072353B">
        <w:t>,</w:t>
      </w:r>
      <w:r w:rsidR="00F61FC8">
        <w:t>309</w:t>
      </w:r>
      <w:r w:rsidR="00F74052" w:rsidRPr="00240B89">
        <w:t xml:space="preserve"> partic</w:t>
      </w:r>
      <w:r w:rsidR="00426AA7" w:rsidRPr="00240B89">
        <w:t>ipants. As of September 30, 20</w:t>
      </w:r>
      <w:r w:rsidR="0046199E" w:rsidRPr="00240B89">
        <w:t>2</w:t>
      </w:r>
      <w:r w:rsidR="00F61FC8">
        <w:t>4</w:t>
      </w:r>
      <w:r w:rsidR="00F74052" w:rsidRPr="00240B89">
        <w:t>, membership consisted of:</w:t>
      </w:r>
    </w:p>
    <w:p w14:paraId="1A183D3A" w14:textId="77777777" w:rsidR="0004552D" w:rsidRPr="005F1423"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14:paraId="2EF194BE" w14:textId="2F429AB6" w:rsidR="00176DA7" w:rsidRDefault="00176DA7"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p>
    <w:p w14:paraId="04E3F91F" w14:textId="293612A2" w:rsidR="00176DA7" w:rsidRDefault="002870C4"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highlight w:val="yellow"/>
        </w:rPr>
        <w:object w:dxaOrig="1440" w:dyaOrig="1440" w14:anchorId="0208E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pt;margin-top:3.15pt;width:191.25pt;height:140.1pt;z-index:251658240;mso-position-horizontal-relative:text;mso-position-vertical-relative:text">
            <v:imagedata r:id="rId8" o:title=""/>
            <o:lock v:ext="edit" aspectratio="f"/>
          </v:shape>
          <o:OLEObject Type="Embed" ProgID="Excel.Sheet.12" ShapeID="_x0000_s1026" DrawAspect="Content" ObjectID="_1812784971" r:id="rId9"/>
        </w:object>
      </w:r>
    </w:p>
    <w:p w14:paraId="38D8C14D" w14:textId="77777777" w:rsidR="00176DA7" w:rsidRPr="00653F5C" w:rsidRDefault="00176DA7" w:rsidP="00110EC0">
      <w:pPr>
        <w:widowControl w:val="0"/>
        <w:autoSpaceDE w:val="0"/>
        <w:autoSpaceDN w:val="0"/>
        <w:adjustRightInd w:val="0"/>
        <w:spacing w:after="0" w:line="240" w:lineRule="auto"/>
        <w:ind w:left="20" w:right="50"/>
        <w:jc w:val="both"/>
        <w:rPr>
          <w:rFonts w:ascii="Times New Roman" w:hAnsi="Times New Roman" w:cs="Times New Roman"/>
          <w:b/>
          <w:color w:val="2B2A29"/>
          <w:spacing w:val="-3"/>
          <w:sz w:val="19"/>
          <w:szCs w:val="19"/>
        </w:rPr>
      </w:pPr>
    </w:p>
    <w:p w14:paraId="6E7C72CC"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374CF56B"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E6FE6B6"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45F2899E"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04964067"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3316645"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692D170B"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01D9E0C2"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E902B33"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BD60A44" w14:textId="77777777" w:rsidR="00176DA7" w:rsidRPr="00110EC0"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7D5488CC" w14:textId="77777777"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14:paraId="2F10FFDC" w14:textId="77777777" w:rsidR="003A7EAC" w:rsidRDefault="003A7EAC" w:rsidP="00110EC0">
      <w:pPr>
        <w:spacing w:after="0" w:line="240" w:lineRule="auto"/>
        <w:jc w:val="both"/>
        <w:rPr>
          <w:rFonts w:ascii="Times New Roman" w:hAnsi="Times New Roman" w:cs="Times New Roman"/>
          <w:i/>
          <w:iCs/>
          <w:color w:val="2B2A29"/>
          <w:sz w:val="20"/>
          <w:szCs w:val="20"/>
        </w:rPr>
      </w:pPr>
    </w:p>
    <w:p w14:paraId="3A34573D" w14:textId="77777777" w:rsidR="003F2C17"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w:t>
      </w:r>
    </w:p>
    <w:p w14:paraId="0503A178" w14:textId="77777777" w:rsidR="001702F5" w:rsidRDefault="001702F5" w:rsidP="00110EC0">
      <w:pPr>
        <w:spacing w:after="0" w:line="240" w:lineRule="auto"/>
        <w:jc w:val="both"/>
        <w:rPr>
          <w:rFonts w:ascii="Times New Roman" w:eastAsia="Calibri" w:hAnsi="Times New Roman" w:cs="Times New Roman"/>
          <w:sz w:val="20"/>
          <w:szCs w:val="20"/>
        </w:rPr>
      </w:pPr>
    </w:p>
    <w:p w14:paraId="7756380E" w14:textId="77777777" w:rsidR="001702F5" w:rsidRPr="0096394D" w:rsidRDefault="0096394D" w:rsidP="00110EC0">
      <w:pPr>
        <w:spacing w:after="0" w:line="240" w:lineRule="auto"/>
        <w:jc w:val="both"/>
        <w:rPr>
          <w:rFonts w:ascii="Times New Roman" w:eastAsia="Calibri" w:hAnsi="Times New Roman" w:cs="Times New Roman"/>
          <w:iCs/>
          <w:sz w:val="20"/>
          <w:szCs w:val="20"/>
        </w:rPr>
      </w:pPr>
      <w:r w:rsidRPr="00B035E0">
        <w:rPr>
          <w:rFonts w:ascii="Times New Roman" w:eastAsia="Calibri" w:hAnsi="Times New Roman" w:cs="Times New Roman"/>
          <w:sz w:val="20"/>
          <w:szCs w:val="20"/>
        </w:rPr>
        <w:t xml:space="preserve">Employers participating in the ERS pursuant to </w:t>
      </w:r>
      <w:r w:rsidRPr="00B035E0">
        <w:rPr>
          <w:rFonts w:ascii="Times New Roman" w:eastAsia="Calibri" w:hAnsi="Times New Roman" w:cs="Times New Roman"/>
          <w:i/>
          <w:sz w:val="20"/>
          <w:szCs w:val="20"/>
        </w:rPr>
        <w:t>Code of Alabama 1975, Section 36-27-6</w:t>
      </w:r>
      <w:r w:rsidRPr="00B035E0">
        <w:rPr>
          <w:rFonts w:ascii="Times New Roman" w:eastAsia="Calibri" w:hAnsi="Times New Roman" w:cs="Times New Roman"/>
          <w:iCs/>
          <w:sz w:val="20"/>
          <w:szCs w:val="20"/>
        </w:rPr>
        <w:t xml:space="preserve"> were not required by statu</w:t>
      </w:r>
      <w:r w:rsidR="00C26E99">
        <w:rPr>
          <w:rFonts w:ascii="Times New Roman" w:eastAsia="Calibri" w:hAnsi="Times New Roman" w:cs="Times New Roman"/>
          <w:iCs/>
          <w:sz w:val="20"/>
          <w:szCs w:val="20"/>
        </w:rPr>
        <w:t>t</w:t>
      </w:r>
      <w:r w:rsidRPr="00B035E0">
        <w:rPr>
          <w:rFonts w:ascii="Times New Roman" w:eastAsia="Calibri" w:hAnsi="Times New Roman" w:cs="Times New Roman"/>
          <w:iCs/>
          <w:sz w:val="20"/>
          <w:szCs w:val="20"/>
        </w:rPr>
        <w:t>e to increase covered member contribution rates but were provided the opportunity to do so through Act 2011-676. By adopting Act 2011-676</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Tier 1 regular members</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w:t>
      </w:r>
      <w:r w:rsidR="00F34DA1" w:rsidRPr="00B035E0">
        <w:rPr>
          <w:rFonts w:ascii="Times New Roman" w:eastAsia="Calibri" w:hAnsi="Times New Roman" w:cs="Times New Roman"/>
          <w:iCs/>
          <w:sz w:val="20"/>
          <w:szCs w:val="20"/>
        </w:rPr>
        <w:t>contribution rates increased from 5% to</w:t>
      </w:r>
      <w:r w:rsidR="00095C3C" w:rsidRPr="00B035E0">
        <w:rPr>
          <w:rFonts w:ascii="Times New Roman" w:eastAsia="Calibri" w:hAnsi="Times New Roman" w:cs="Times New Roman"/>
          <w:iCs/>
          <w:sz w:val="20"/>
          <w:szCs w:val="20"/>
        </w:rPr>
        <w:t xml:space="preserve"> 7.5% of earnable compensation and Tier 1</w:t>
      </w:r>
      <w:r w:rsidR="009471AE">
        <w:rPr>
          <w:rFonts w:ascii="Times New Roman" w:eastAsia="Calibri" w:hAnsi="Times New Roman" w:cs="Times New Roman"/>
          <w:iCs/>
          <w:sz w:val="20"/>
          <w:szCs w:val="20"/>
        </w:rPr>
        <w:t xml:space="preserve"> certified law enforcement, correctional officers’, and firefighters’ member contribution </w:t>
      </w:r>
      <w:r w:rsidR="00602DF3">
        <w:rPr>
          <w:rFonts w:ascii="Times New Roman" w:eastAsia="Calibri" w:hAnsi="Times New Roman" w:cs="Times New Roman"/>
          <w:iCs/>
          <w:sz w:val="20"/>
          <w:szCs w:val="20"/>
        </w:rPr>
        <w:t xml:space="preserve">rates </w:t>
      </w:r>
      <w:r w:rsidR="00602DF3" w:rsidRPr="00B035E0">
        <w:rPr>
          <w:rFonts w:ascii="Times New Roman" w:eastAsia="Calibri" w:hAnsi="Times New Roman" w:cs="Times New Roman"/>
          <w:iCs/>
          <w:sz w:val="20"/>
          <w:szCs w:val="20"/>
        </w:rPr>
        <w:t>increased</w:t>
      </w:r>
      <w:r w:rsidR="00F34DA1" w:rsidRPr="00B035E0">
        <w:rPr>
          <w:rFonts w:ascii="Times New Roman" w:eastAsia="Calibri" w:hAnsi="Times New Roman" w:cs="Times New Roman"/>
          <w:iCs/>
          <w:sz w:val="20"/>
          <w:szCs w:val="20"/>
        </w:rPr>
        <w:t xml:space="preserve"> from 6% to</w:t>
      </w:r>
      <w:r w:rsidR="00095C3C" w:rsidRPr="00B035E0">
        <w:rPr>
          <w:rFonts w:ascii="Times New Roman" w:eastAsia="Calibri" w:hAnsi="Times New Roman" w:cs="Times New Roman"/>
          <w:iCs/>
          <w:sz w:val="20"/>
          <w:szCs w:val="20"/>
        </w:rPr>
        <w:t xml:space="preserve"> 8.5% of earnable compensation.</w:t>
      </w:r>
      <w:r w:rsidR="00095C3C">
        <w:rPr>
          <w:rFonts w:ascii="Times New Roman" w:eastAsia="Calibri" w:hAnsi="Times New Roman" w:cs="Times New Roman"/>
          <w:iCs/>
          <w:sz w:val="20"/>
          <w:szCs w:val="20"/>
        </w:rPr>
        <w:t xml:space="preserve">  </w:t>
      </w:r>
    </w:p>
    <w:p w14:paraId="41B16B85" w14:textId="77777777" w:rsidR="003F2C17" w:rsidRPr="0004552D" w:rsidRDefault="003F2C17" w:rsidP="00110EC0">
      <w:pPr>
        <w:spacing w:after="0" w:line="240" w:lineRule="auto"/>
        <w:jc w:val="both"/>
        <w:rPr>
          <w:rFonts w:ascii="Times New Roman" w:eastAsia="Calibri" w:hAnsi="Times New Roman" w:cs="Times New Roman"/>
          <w:sz w:val="20"/>
          <w:szCs w:val="20"/>
        </w:rPr>
      </w:pPr>
    </w:p>
    <w:p w14:paraId="4E769FA9" w14:textId="77777777"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14:paraId="37D80823" w14:textId="77777777" w:rsidR="003F2C17" w:rsidRPr="0004552D" w:rsidRDefault="003F2C17" w:rsidP="00110EC0">
      <w:pPr>
        <w:spacing w:after="0" w:line="240" w:lineRule="auto"/>
        <w:jc w:val="both"/>
        <w:rPr>
          <w:rFonts w:ascii="Times New Roman" w:eastAsia="Calibri" w:hAnsi="Times New Roman" w:cs="Times New Roman"/>
          <w:sz w:val="20"/>
          <w:szCs w:val="20"/>
        </w:rPr>
      </w:pPr>
    </w:p>
    <w:p w14:paraId="75BCF636" w14:textId="4AC32FC0"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lastRenderedPageBreak/>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 xml:space="preserve">was </w:t>
      </w:r>
      <w:r w:rsidR="00843999">
        <w:rPr>
          <w:rFonts w:ascii="Times New Roman" w:eastAsia="Calibri" w:hAnsi="Times New Roman" w:cs="Times New Roman"/>
          <w:sz w:val="20"/>
          <w:szCs w:val="20"/>
        </w:rPr>
        <w:t>____</w:t>
      </w:r>
      <w:r w:rsidRPr="0004552D">
        <w:rPr>
          <w:rFonts w:ascii="Times New Roman" w:eastAsia="Calibri" w:hAnsi="Times New Roman" w:cs="Times New Roman"/>
          <w:sz w:val="20"/>
          <w:szCs w:val="20"/>
        </w:rPr>
        <w:t>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w:t>
      </w:r>
      <w:r w:rsidR="00F61FC8">
        <w:rPr>
          <w:rFonts w:ascii="Times New Roman" w:eastAsia="Calibri" w:hAnsi="Times New Roman" w:cs="Times New Roman"/>
          <w:sz w:val="20"/>
          <w:szCs w:val="20"/>
        </w:rPr>
        <w:t>2</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14:paraId="6D3E6B1A" w14:textId="77777777" w:rsidR="00837EA4" w:rsidRPr="0004552D" w:rsidRDefault="00837EA4" w:rsidP="00110EC0">
      <w:pPr>
        <w:spacing w:after="0" w:line="240" w:lineRule="auto"/>
        <w:jc w:val="both"/>
        <w:rPr>
          <w:rFonts w:ascii="Times New Roman" w:eastAsia="Calibri" w:hAnsi="Times New Roman" w:cs="Times New Roman"/>
          <w:sz w:val="20"/>
          <w:szCs w:val="20"/>
        </w:rPr>
      </w:pPr>
    </w:p>
    <w:p w14:paraId="0E9FBD75" w14:textId="43295E05"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w:t>
      </w:r>
      <w:r w:rsidR="0046199E">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w:t>
      </w:r>
      <w:r w:rsidR="00F61FC8">
        <w:rPr>
          <w:rFonts w:ascii="Times New Roman" w:eastAsia="Calibri" w:hAnsi="Times New Roman" w:cs="Times New Roman"/>
          <w:sz w:val="20"/>
          <w:szCs w:val="20"/>
        </w:rPr>
        <w:t>2</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w:t>
      </w:r>
      <w:proofErr w:type="gramStart"/>
      <w:r w:rsidR="003A7EAC">
        <w:rPr>
          <w:rFonts w:ascii="Times New Roman" w:eastAsia="Calibri" w:hAnsi="Times New Roman" w:cs="Times New Roman"/>
          <w:sz w:val="20"/>
          <w:szCs w:val="20"/>
        </w:rPr>
        <w:t>City</w:t>
      </w:r>
      <w:proofErr w:type="gramEnd"/>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003F2C17" w:rsidRPr="0004552D">
        <w:rPr>
          <w:rFonts w:ascii="Times New Roman" w:eastAsia="Calibri" w:hAnsi="Times New Roman" w:cs="Times New Roman"/>
          <w:sz w:val="20"/>
          <w:szCs w:val="20"/>
        </w:rPr>
        <w:t xml:space="preserve">. </w:t>
      </w:r>
    </w:p>
    <w:p w14:paraId="2133F278" w14:textId="77777777" w:rsidR="00B035E0" w:rsidRDefault="00B035E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14:paraId="60E9AB93" w14:textId="77777777"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 xml:space="preserve">Net Pension Liability </w:t>
      </w:r>
    </w:p>
    <w:p w14:paraId="7F681944"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14:paraId="579E3100" w14:textId="1F59AC0E"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F61FC8">
        <w:rPr>
          <w:rFonts w:ascii="Times New Roman" w:eastAsia="Calibri" w:hAnsi="Times New Roman" w:cs="Times New Roman"/>
          <w:sz w:val="20"/>
          <w:szCs w:val="20"/>
        </w:rPr>
        <w:t>4</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w:t>
      </w:r>
      <w:r w:rsidR="00E83C8F">
        <w:rPr>
          <w:rFonts w:ascii="Times New Roman" w:eastAsia="Calibri" w:hAnsi="Times New Roman" w:cs="Times New Roman"/>
          <w:sz w:val="20"/>
          <w:szCs w:val="20"/>
        </w:rPr>
        <w:t>2</w:t>
      </w:r>
      <w:r w:rsidR="00F61FC8">
        <w:rPr>
          <w:rFonts w:ascii="Times New Roman" w:eastAsia="Calibri" w:hAnsi="Times New Roman" w:cs="Times New Roman"/>
          <w:sz w:val="20"/>
          <w:szCs w:val="20"/>
        </w:rPr>
        <w:t>3</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F61FC8">
        <w:rPr>
          <w:rFonts w:ascii="Times New Roman" w:eastAsia="Calibri" w:hAnsi="Times New Roman" w:cs="Times New Roman"/>
          <w:sz w:val="20"/>
          <w:szCs w:val="20"/>
        </w:rPr>
        <w:t>4</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14:paraId="6ACAAB08" w14:textId="77777777"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C105088" w14:textId="77777777" w:rsidR="00017813" w:rsidRPr="00110EC0" w:rsidRDefault="002870C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29EE28B9">
          <v:shape id="_x0000_s1027" type="#_x0000_t75" style="position:absolute;left:0;text-align:left;margin-left:109.65pt;margin-top:10.6pt;width:315.7pt;height:111.75pt;z-index:251660288;mso-position-horizontal-relative:text;mso-position-vertical-relative:text">
            <v:imagedata r:id="rId10" o:title=""/>
            <o:lock v:ext="edit" aspectratio="f"/>
          </v:shape>
          <o:OLEObject Type="Embed" ProgID="Excel.Sheet.12" ShapeID="_x0000_s1027" DrawAspect="Content" ObjectID="_1812784972" r:id="rId11"/>
        </w:object>
      </w:r>
    </w:p>
    <w:p w14:paraId="18EE70B6"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4" w:name="Pg211"/>
      <w:bookmarkEnd w:id="4"/>
    </w:p>
    <w:p w14:paraId="0E66C0F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1705D58B"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5DDFB1A"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FF70AD5"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036766EC"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0E4218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AE74848"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5CCBEE2"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2AC3BDF1"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25A983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88E9C18" w14:textId="77777777"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7207394E" w14:textId="77777777"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14:paraId="1A2E5774" w14:textId="77777777"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EDDC930" w14:textId="01DB0577"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proofErr w:type="gramStart"/>
      <w:r w:rsidR="00AE6CD3">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F61FC8">
        <w:rPr>
          <w:rFonts w:ascii="Times New Roman" w:eastAsia="Calibri" w:hAnsi="Times New Roman" w:cs="Times New Roman"/>
          <w:sz w:val="20"/>
          <w:szCs w:val="20"/>
        </w:rPr>
        <w:t>4</w:t>
      </w:r>
      <w:proofErr w:type="gramEnd"/>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w:t>
      </w:r>
      <w:r w:rsidR="00E83C8F">
        <w:rPr>
          <w:rFonts w:ascii="Times New Roman" w:eastAsia="Calibri" w:hAnsi="Times New Roman" w:cs="Times New Roman"/>
          <w:sz w:val="20"/>
          <w:szCs w:val="20"/>
        </w:rPr>
        <w:t>2</w:t>
      </w:r>
      <w:r w:rsidR="00F61FC8">
        <w:rPr>
          <w:rFonts w:ascii="Times New Roman" w:eastAsia="Calibri" w:hAnsi="Times New Roman" w:cs="Times New Roman"/>
          <w:sz w:val="20"/>
          <w:szCs w:val="20"/>
        </w:rPr>
        <w:t>3</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14:paraId="1D7C44A7" w14:textId="77777777"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3628B37" w14:textId="77777777" w:rsidR="00017813" w:rsidRDefault="002870C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309D1B6D">
          <v:shape id="_x0000_s1028" type="#_x0000_t75" style="position:absolute;left:0;text-align:left;margin-left:34.5pt;margin-top:4.65pt;width:382.65pt;height:55.65pt;z-index:251662336;mso-position-horizontal-relative:text;mso-position-vertical-relative:text">
            <v:imagedata r:id="rId12" o:title=""/>
            <o:lock v:ext="edit" aspectratio="f"/>
          </v:shape>
          <o:OLEObject Type="Embed" ProgID="Excel.Sheet.12" ShapeID="_x0000_s1028" DrawAspect="Content" ObjectID="_1812784973" r:id="rId13"/>
        </w:object>
      </w:r>
    </w:p>
    <w:p w14:paraId="3683A0F0" w14:textId="77777777"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2C1D680" w14:textId="77777777" w:rsidR="00454F6C" w:rsidRDefault="00454F6C" w:rsidP="00110EC0">
      <w:pPr>
        <w:spacing w:after="0" w:line="240" w:lineRule="auto"/>
        <w:jc w:val="both"/>
        <w:rPr>
          <w:rFonts w:ascii="Times New Roman" w:eastAsia="Calibri" w:hAnsi="Times New Roman" w:cs="Times New Roman"/>
          <w:sz w:val="20"/>
          <w:szCs w:val="20"/>
        </w:rPr>
      </w:pPr>
    </w:p>
    <w:p w14:paraId="114ED900" w14:textId="77777777" w:rsidR="00454F6C" w:rsidRDefault="00454F6C" w:rsidP="00110EC0">
      <w:pPr>
        <w:spacing w:after="0" w:line="240" w:lineRule="auto"/>
        <w:jc w:val="both"/>
        <w:rPr>
          <w:rFonts w:ascii="Times New Roman" w:eastAsia="Calibri" w:hAnsi="Times New Roman" w:cs="Times New Roman"/>
          <w:sz w:val="20"/>
          <w:szCs w:val="20"/>
        </w:rPr>
      </w:pPr>
    </w:p>
    <w:p w14:paraId="18E78914" w14:textId="77777777" w:rsidR="00454F6C" w:rsidRDefault="00454F6C" w:rsidP="00110EC0">
      <w:pPr>
        <w:spacing w:after="0" w:line="240" w:lineRule="auto"/>
        <w:jc w:val="both"/>
        <w:rPr>
          <w:rFonts w:ascii="Times New Roman" w:eastAsia="Calibri" w:hAnsi="Times New Roman" w:cs="Times New Roman"/>
          <w:sz w:val="20"/>
          <w:szCs w:val="20"/>
        </w:rPr>
      </w:pPr>
    </w:p>
    <w:p w14:paraId="058280F6" w14:textId="77777777" w:rsidR="00454F6C" w:rsidRDefault="00454F6C" w:rsidP="00110EC0">
      <w:pPr>
        <w:spacing w:after="0" w:line="240" w:lineRule="auto"/>
        <w:jc w:val="both"/>
        <w:rPr>
          <w:rFonts w:ascii="Times New Roman" w:eastAsia="Calibri" w:hAnsi="Times New Roman" w:cs="Times New Roman"/>
          <w:sz w:val="20"/>
          <w:szCs w:val="20"/>
        </w:rPr>
      </w:pPr>
    </w:p>
    <w:p w14:paraId="46A9DB54" w14:textId="77777777" w:rsidR="00524A81" w:rsidRDefault="00524A81" w:rsidP="00247106">
      <w:pPr>
        <w:spacing w:after="0" w:line="240" w:lineRule="auto"/>
        <w:jc w:val="both"/>
        <w:rPr>
          <w:rFonts w:ascii="Times New Roman" w:eastAsia="Calibri" w:hAnsi="Times New Roman" w:cs="Times New Roman"/>
          <w:sz w:val="20"/>
          <w:szCs w:val="20"/>
        </w:rPr>
      </w:pPr>
    </w:p>
    <w:p w14:paraId="7F5AAADE" w14:textId="77777777" w:rsidR="00524A81" w:rsidRDefault="00524A81" w:rsidP="00247106">
      <w:pPr>
        <w:spacing w:after="0" w:line="240" w:lineRule="auto"/>
        <w:jc w:val="both"/>
        <w:rPr>
          <w:rFonts w:ascii="Times New Roman" w:eastAsia="Calibri" w:hAnsi="Times New Roman" w:cs="Times New Roman"/>
          <w:sz w:val="20"/>
          <w:szCs w:val="20"/>
        </w:rPr>
      </w:pPr>
    </w:p>
    <w:p w14:paraId="1C24B230" w14:textId="77777777" w:rsidR="00524A81" w:rsidRDefault="00524A81" w:rsidP="00247106">
      <w:pPr>
        <w:spacing w:after="0" w:line="240" w:lineRule="auto"/>
        <w:jc w:val="both"/>
        <w:rPr>
          <w:rFonts w:ascii="Times New Roman" w:eastAsia="Calibri" w:hAnsi="Times New Roman" w:cs="Times New Roman"/>
          <w:sz w:val="20"/>
          <w:szCs w:val="20"/>
        </w:rPr>
      </w:pPr>
    </w:p>
    <w:p w14:paraId="648C8C64" w14:textId="77777777" w:rsidR="00524A81" w:rsidRDefault="00524A81" w:rsidP="00247106">
      <w:pPr>
        <w:spacing w:after="0" w:line="240" w:lineRule="auto"/>
        <w:jc w:val="both"/>
        <w:rPr>
          <w:rFonts w:ascii="Times New Roman" w:eastAsia="Calibri" w:hAnsi="Times New Roman" w:cs="Times New Roman"/>
          <w:sz w:val="20"/>
          <w:szCs w:val="20"/>
        </w:rPr>
      </w:pPr>
    </w:p>
    <w:p w14:paraId="442A996F" w14:textId="77777777" w:rsidR="00524A81" w:rsidRDefault="00524A81" w:rsidP="00247106">
      <w:pPr>
        <w:spacing w:after="0" w:line="240" w:lineRule="auto"/>
        <w:jc w:val="both"/>
        <w:rPr>
          <w:rFonts w:ascii="Times New Roman" w:eastAsia="Calibri" w:hAnsi="Times New Roman" w:cs="Times New Roman"/>
          <w:sz w:val="20"/>
          <w:szCs w:val="20"/>
        </w:rPr>
      </w:pPr>
    </w:p>
    <w:p w14:paraId="7419CF9E" w14:textId="77777777" w:rsidR="00524A81" w:rsidRDefault="00524A81" w:rsidP="00247106">
      <w:pPr>
        <w:spacing w:after="0" w:line="240" w:lineRule="auto"/>
        <w:jc w:val="both"/>
        <w:rPr>
          <w:rFonts w:ascii="Times New Roman" w:eastAsia="Calibri" w:hAnsi="Times New Roman" w:cs="Times New Roman"/>
          <w:sz w:val="20"/>
          <w:szCs w:val="20"/>
        </w:rPr>
      </w:pPr>
    </w:p>
    <w:p w14:paraId="0E979894" w14:textId="77777777" w:rsidR="00524A81" w:rsidRDefault="00524A81" w:rsidP="00247106">
      <w:pPr>
        <w:spacing w:after="0" w:line="240" w:lineRule="auto"/>
        <w:jc w:val="both"/>
        <w:rPr>
          <w:rFonts w:ascii="Times New Roman" w:eastAsia="Calibri" w:hAnsi="Times New Roman" w:cs="Times New Roman"/>
          <w:sz w:val="20"/>
          <w:szCs w:val="20"/>
        </w:rPr>
      </w:pPr>
    </w:p>
    <w:p w14:paraId="6B8E9AE4" w14:textId="77777777" w:rsidR="00524A81" w:rsidRDefault="00524A81" w:rsidP="00247106">
      <w:pPr>
        <w:spacing w:after="0" w:line="240" w:lineRule="auto"/>
        <w:jc w:val="both"/>
        <w:rPr>
          <w:rFonts w:ascii="Times New Roman" w:eastAsia="Calibri" w:hAnsi="Times New Roman" w:cs="Times New Roman"/>
          <w:sz w:val="20"/>
          <w:szCs w:val="20"/>
        </w:rPr>
      </w:pPr>
    </w:p>
    <w:p w14:paraId="1C7DAAC2" w14:textId="77777777" w:rsidR="00524A81" w:rsidRDefault="00524A81" w:rsidP="00247106">
      <w:pPr>
        <w:spacing w:after="0" w:line="240" w:lineRule="auto"/>
        <w:jc w:val="both"/>
        <w:rPr>
          <w:rFonts w:ascii="Times New Roman" w:eastAsia="Calibri" w:hAnsi="Times New Roman" w:cs="Times New Roman"/>
          <w:sz w:val="20"/>
          <w:szCs w:val="20"/>
        </w:rPr>
      </w:pPr>
    </w:p>
    <w:p w14:paraId="27191534" w14:textId="77777777" w:rsidR="00524A81" w:rsidRDefault="00524A81" w:rsidP="00247106">
      <w:pPr>
        <w:spacing w:after="0" w:line="240" w:lineRule="auto"/>
        <w:jc w:val="both"/>
        <w:rPr>
          <w:rFonts w:ascii="Times New Roman" w:eastAsia="Calibri" w:hAnsi="Times New Roman" w:cs="Times New Roman"/>
          <w:sz w:val="20"/>
          <w:szCs w:val="20"/>
        </w:rPr>
      </w:pPr>
    </w:p>
    <w:p w14:paraId="618F66FF" w14:textId="77777777" w:rsidR="00524A81" w:rsidRDefault="00524A81" w:rsidP="00247106">
      <w:pPr>
        <w:spacing w:after="0" w:line="240" w:lineRule="auto"/>
        <w:jc w:val="both"/>
        <w:rPr>
          <w:rFonts w:ascii="Times New Roman" w:eastAsia="Calibri" w:hAnsi="Times New Roman" w:cs="Times New Roman"/>
          <w:sz w:val="20"/>
          <w:szCs w:val="20"/>
        </w:rPr>
      </w:pPr>
    </w:p>
    <w:p w14:paraId="2447109B" w14:textId="77777777" w:rsidR="00524A81" w:rsidRDefault="00524A81" w:rsidP="00247106">
      <w:pPr>
        <w:spacing w:after="0" w:line="240" w:lineRule="auto"/>
        <w:jc w:val="both"/>
        <w:rPr>
          <w:rFonts w:ascii="Times New Roman" w:eastAsia="Calibri" w:hAnsi="Times New Roman" w:cs="Times New Roman"/>
          <w:sz w:val="20"/>
          <w:szCs w:val="20"/>
        </w:rPr>
      </w:pPr>
    </w:p>
    <w:p w14:paraId="302F6C1D" w14:textId="77777777" w:rsidR="00524A81" w:rsidRDefault="00524A81" w:rsidP="00247106">
      <w:pPr>
        <w:spacing w:after="0" w:line="240" w:lineRule="auto"/>
        <w:jc w:val="both"/>
        <w:rPr>
          <w:rFonts w:ascii="Times New Roman" w:eastAsia="Calibri" w:hAnsi="Times New Roman" w:cs="Times New Roman"/>
          <w:sz w:val="20"/>
          <w:szCs w:val="20"/>
        </w:rPr>
      </w:pPr>
    </w:p>
    <w:p w14:paraId="6811DDD0" w14:textId="77777777" w:rsidR="00524A81" w:rsidRDefault="00524A81" w:rsidP="00247106">
      <w:pPr>
        <w:spacing w:after="0" w:line="240" w:lineRule="auto"/>
        <w:jc w:val="both"/>
        <w:rPr>
          <w:rFonts w:ascii="Times New Roman" w:eastAsia="Calibri" w:hAnsi="Times New Roman" w:cs="Times New Roman"/>
          <w:sz w:val="20"/>
          <w:szCs w:val="20"/>
        </w:rPr>
      </w:pPr>
    </w:p>
    <w:p w14:paraId="51BEB543" w14:textId="77777777" w:rsidR="00524A81" w:rsidRDefault="00524A81" w:rsidP="00247106">
      <w:pPr>
        <w:spacing w:after="0" w:line="240" w:lineRule="auto"/>
        <w:jc w:val="both"/>
        <w:rPr>
          <w:rFonts w:ascii="Times New Roman" w:eastAsia="Calibri" w:hAnsi="Times New Roman" w:cs="Times New Roman"/>
          <w:sz w:val="20"/>
          <w:szCs w:val="20"/>
        </w:rPr>
      </w:pPr>
    </w:p>
    <w:p w14:paraId="7A9A15C9" w14:textId="1077748B"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Mortality rates were based on the Pub-2010 Below-Median Tables, projected generationally using</w:t>
      </w:r>
    </w:p>
    <w:p w14:paraId="0442B79C" w14:textId="77777777"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MP-2020 scale, which is adjusted by 66-2/3% beginning with year 2019:</w:t>
      </w:r>
    </w:p>
    <w:p w14:paraId="0E8A8B41" w14:textId="77777777" w:rsidR="00237BEE" w:rsidRDefault="00237BEE" w:rsidP="00110EC0">
      <w:pPr>
        <w:spacing w:after="0" w:line="240" w:lineRule="auto"/>
        <w:jc w:val="both"/>
        <w:rPr>
          <w:rFonts w:ascii="Times New Roman" w:eastAsia="Calibri" w:hAnsi="Times New Roman" w:cs="Times New Roman"/>
          <w:sz w:val="20"/>
          <w:szCs w:val="20"/>
        </w:rPr>
      </w:pPr>
    </w:p>
    <w:p w14:paraId="740CFD33" w14:textId="77777777" w:rsidR="00247106" w:rsidRPr="00247106" w:rsidRDefault="00247106" w:rsidP="00247106">
      <w:pPr>
        <w:spacing w:after="0" w:line="240" w:lineRule="auto"/>
        <w:jc w:val="both"/>
        <w:rPr>
          <w:rFonts w:ascii="Times New Roman" w:eastAsia="Calibri" w:hAnsi="Times New Roman" w:cs="Times New Roman"/>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2111"/>
        <w:gridCol w:w="2463"/>
        <w:gridCol w:w="2727"/>
        <w:gridCol w:w="2568"/>
      </w:tblGrid>
      <w:tr w:rsidR="00247106" w:rsidRPr="00247106" w14:paraId="3BA251DE" w14:textId="77777777" w:rsidTr="00247106">
        <w:trPr>
          <w:trHeight w:val="720"/>
        </w:trPr>
        <w:tc>
          <w:tcPr>
            <w:tcW w:w="2111" w:type="dxa"/>
            <w:tcBorders>
              <w:top w:val="nil"/>
              <w:left w:val="nil"/>
              <w:bottom w:val="nil"/>
              <w:right w:val="nil"/>
            </w:tcBorders>
          </w:tcPr>
          <w:p w14:paraId="315A7D66"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77896CDF"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Group</w:t>
            </w:r>
          </w:p>
        </w:tc>
        <w:tc>
          <w:tcPr>
            <w:tcW w:w="2463" w:type="dxa"/>
            <w:tcBorders>
              <w:top w:val="nil"/>
              <w:left w:val="nil"/>
              <w:bottom w:val="nil"/>
              <w:right w:val="nil"/>
            </w:tcBorders>
          </w:tcPr>
          <w:p w14:paraId="6E229767"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401735F1"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Membership Table</w:t>
            </w:r>
          </w:p>
        </w:tc>
        <w:tc>
          <w:tcPr>
            <w:tcW w:w="2727" w:type="dxa"/>
            <w:tcBorders>
              <w:top w:val="nil"/>
              <w:left w:val="nil"/>
              <w:bottom w:val="nil"/>
              <w:right w:val="nil"/>
            </w:tcBorders>
          </w:tcPr>
          <w:p w14:paraId="557D2B34"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Set Forward (+)/</w:t>
            </w:r>
            <w:r w:rsidRPr="00247106">
              <w:rPr>
                <w:rFonts w:ascii="Times New Roman" w:eastAsia="Calibri" w:hAnsi="Times New Roman" w:cs="Times New Roman"/>
                <w:b/>
                <w:bCs/>
                <w:sz w:val="18"/>
                <w:szCs w:val="18"/>
              </w:rPr>
              <w:t xml:space="preserve"> </w:t>
            </w:r>
            <w:r w:rsidRPr="00247106">
              <w:rPr>
                <w:rFonts w:ascii="Times New Roman" w:eastAsia="Calibri" w:hAnsi="Times New Roman" w:cs="Times New Roman"/>
                <w:b/>
                <w:bCs/>
                <w:sz w:val="18"/>
                <w:szCs w:val="18"/>
                <w:u w:val="thick"/>
              </w:rPr>
              <w:t>Setback (-)</w:t>
            </w:r>
          </w:p>
        </w:tc>
        <w:tc>
          <w:tcPr>
            <w:tcW w:w="2568" w:type="dxa"/>
            <w:tcBorders>
              <w:top w:val="nil"/>
              <w:left w:val="nil"/>
              <w:bottom w:val="nil"/>
              <w:right w:val="nil"/>
            </w:tcBorders>
          </w:tcPr>
          <w:p w14:paraId="3DEF3CC3"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DFADAA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Adjustment to Rates</w:t>
            </w:r>
          </w:p>
        </w:tc>
      </w:tr>
      <w:tr w:rsidR="00247106" w:rsidRPr="00247106" w14:paraId="4D9926C5" w14:textId="77777777" w:rsidTr="00247106">
        <w:trPr>
          <w:trHeight w:val="720"/>
        </w:trPr>
        <w:tc>
          <w:tcPr>
            <w:tcW w:w="2111" w:type="dxa"/>
            <w:tcBorders>
              <w:top w:val="nil"/>
              <w:left w:val="nil"/>
              <w:bottom w:val="nil"/>
              <w:right w:val="nil"/>
            </w:tcBorders>
          </w:tcPr>
          <w:p w14:paraId="5D2B836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w:t>
            </w:r>
            <w:r w:rsidR="00602DF3">
              <w:rPr>
                <w:rFonts w:ascii="Times New Roman" w:eastAsia="Calibri" w:hAnsi="Times New Roman" w:cs="Times New Roman"/>
                <w:sz w:val="18"/>
                <w:szCs w:val="18"/>
              </w:rPr>
              <w:t>-</w:t>
            </w:r>
            <w:r w:rsidRPr="00247106">
              <w:rPr>
                <w:rFonts w:ascii="Times New Roman" w:eastAsia="Calibri" w:hAnsi="Times New Roman" w:cs="Times New Roman"/>
                <w:sz w:val="18"/>
                <w:szCs w:val="18"/>
              </w:rPr>
              <w:t>FLC Service Retirees</w:t>
            </w:r>
          </w:p>
        </w:tc>
        <w:tc>
          <w:tcPr>
            <w:tcW w:w="2463" w:type="dxa"/>
            <w:tcBorders>
              <w:top w:val="nil"/>
              <w:left w:val="nil"/>
              <w:bottom w:val="nil"/>
              <w:right w:val="nil"/>
            </w:tcBorders>
          </w:tcPr>
          <w:p w14:paraId="695C9A0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Healthy Below Median</w:t>
            </w:r>
          </w:p>
        </w:tc>
        <w:tc>
          <w:tcPr>
            <w:tcW w:w="2727" w:type="dxa"/>
            <w:tcBorders>
              <w:top w:val="nil"/>
              <w:left w:val="nil"/>
              <w:bottom w:val="nil"/>
              <w:right w:val="nil"/>
            </w:tcBorders>
          </w:tcPr>
          <w:p w14:paraId="208EAED4"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CD5C72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14:paraId="50459EE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90% ages &lt; 65,</w:t>
            </w:r>
          </w:p>
          <w:p w14:paraId="19EDA9D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96% ages &gt;= 65 Female: 96% all ages</w:t>
            </w:r>
          </w:p>
        </w:tc>
      </w:tr>
      <w:tr w:rsidR="00247106" w:rsidRPr="00247106" w14:paraId="12B6D98A" w14:textId="77777777" w:rsidTr="00247106">
        <w:trPr>
          <w:trHeight w:val="720"/>
        </w:trPr>
        <w:tc>
          <w:tcPr>
            <w:tcW w:w="2111" w:type="dxa"/>
            <w:tcBorders>
              <w:top w:val="nil"/>
              <w:left w:val="nil"/>
              <w:bottom w:val="nil"/>
              <w:right w:val="nil"/>
            </w:tcBorders>
          </w:tcPr>
          <w:p w14:paraId="07713DF8"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Service Retirees</w:t>
            </w:r>
          </w:p>
        </w:tc>
        <w:tc>
          <w:tcPr>
            <w:tcW w:w="2463" w:type="dxa"/>
            <w:tcBorders>
              <w:top w:val="nil"/>
              <w:left w:val="nil"/>
              <w:bottom w:val="nil"/>
              <w:right w:val="nil"/>
            </w:tcBorders>
          </w:tcPr>
          <w:p w14:paraId="1E6303E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Healthy Below Median</w:t>
            </w:r>
          </w:p>
        </w:tc>
        <w:tc>
          <w:tcPr>
            <w:tcW w:w="2727" w:type="dxa"/>
            <w:tcBorders>
              <w:top w:val="nil"/>
              <w:left w:val="nil"/>
              <w:bottom w:val="nil"/>
              <w:right w:val="nil"/>
            </w:tcBorders>
          </w:tcPr>
          <w:p w14:paraId="5798655E"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0C759B72"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+1, Female: none</w:t>
            </w:r>
          </w:p>
        </w:tc>
        <w:tc>
          <w:tcPr>
            <w:tcW w:w="2568" w:type="dxa"/>
            <w:tcBorders>
              <w:top w:val="nil"/>
              <w:left w:val="nil"/>
              <w:bottom w:val="nil"/>
              <w:right w:val="nil"/>
            </w:tcBorders>
          </w:tcPr>
          <w:p w14:paraId="16D92528"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373209D"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01827756" w14:textId="77777777" w:rsidTr="00247106">
        <w:trPr>
          <w:trHeight w:val="720"/>
        </w:trPr>
        <w:tc>
          <w:tcPr>
            <w:tcW w:w="2111" w:type="dxa"/>
            <w:tcBorders>
              <w:top w:val="nil"/>
              <w:left w:val="nil"/>
              <w:bottom w:val="nil"/>
              <w:right w:val="nil"/>
            </w:tcBorders>
          </w:tcPr>
          <w:p w14:paraId="0BC446F2"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03E27428"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Beneficiaries</w:t>
            </w:r>
          </w:p>
        </w:tc>
        <w:tc>
          <w:tcPr>
            <w:tcW w:w="2463" w:type="dxa"/>
            <w:tcBorders>
              <w:top w:val="nil"/>
              <w:left w:val="nil"/>
              <w:bottom w:val="nil"/>
              <w:right w:val="nil"/>
            </w:tcBorders>
          </w:tcPr>
          <w:p w14:paraId="218EC58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Contingent Survivor Below Median</w:t>
            </w:r>
          </w:p>
        </w:tc>
        <w:tc>
          <w:tcPr>
            <w:tcW w:w="2727" w:type="dxa"/>
            <w:tcBorders>
              <w:top w:val="nil"/>
              <w:left w:val="nil"/>
              <w:bottom w:val="nil"/>
              <w:right w:val="nil"/>
            </w:tcBorders>
          </w:tcPr>
          <w:p w14:paraId="7D3C78D9"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3F50E8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14:paraId="3B3A0D1B"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3D159F0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2B430FE4" w14:textId="77777777" w:rsidTr="00247106">
        <w:trPr>
          <w:trHeight w:val="720"/>
        </w:trPr>
        <w:tc>
          <w:tcPr>
            <w:tcW w:w="2111" w:type="dxa"/>
            <w:tcBorders>
              <w:top w:val="nil"/>
              <w:left w:val="nil"/>
              <w:bottom w:val="nil"/>
              <w:right w:val="nil"/>
            </w:tcBorders>
          </w:tcPr>
          <w:p w14:paraId="0528BCAB"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Non-FLC</w:t>
            </w:r>
          </w:p>
          <w:p w14:paraId="06DA95D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Disabled Retirees</w:t>
            </w:r>
          </w:p>
        </w:tc>
        <w:tc>
          <w:tcPr>
            <w:tcW w:w="2463" w:type="dxa"/>
            <w:tcBorders>
              <w:top w:val="nil"/>
              <w:left w:val="nil"/>
              <w:bottom w:val="nil"/>
              <w:right w:val="nil"/>
            </w:tcBorders>
          </w:tcPr>
          <w:p w14:paraId="0AB3DE91"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316E1961"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Disability</w:t>
            </w:r>
          </w:p>
        </w:tc>
        <w:tc>
          <w:tcPr>
            <w:tcW w:w="2727" w:type="dxa"/>
            <w:tcBorders>
              <w:top w:val="nil"/>
              <w:left w:val="nil"/>
              <w:bottom w:val="nil"/>
              <w:right w:val="nil"/>
            </w:tcBorders>
          </w:tcPr>
          <w:p w14:paraId="67D06CD1"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41EB846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+3</w:t>
            </w:r>
          </w:p>
        </w:tc>
        <w:tc>
          <w:tcPr>
            <w:tcW w:w="2568" w:type="dxa"/>
            <w:tcBorders>
              <w:top w:val="nil"/>
              <w:left w:val="nil"/>
              <w:bottom w:val="nil"/>
              <w:right w:val="nil"/>
            </w:tcBorders>
          </w:tcPr>
          <w:p w14:paraId="0342AA7A"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F92BC0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2A9125FE" w14:textId="77777777" w:rsidTr="00247106">
        <w:trPr>
          <w:trHeight w:val="720"/>
        </w:trPr>
        <w:tc>
          <w:tcPr>
            <w:tcW w:w="2111" w:type="dxa"/>
            <w:tcBorders>
              <w:top w:val="nil"/>
              <w:left w:val="nil"/>
              <w:bottom w:val="nil"/>
              <w:right w:val="nil"/>
            </w:tcBorders>
          </w:tcPr>
          <w:p w14:paraId="46C557A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Disabled Retirees</w:t>
            </w:r>
          </w:p>
        </w:tc>
        <w:tc>
          <w:tcPr>
            <w:tcW w:w="2463" w:type="dxa"/>
            <w:tcBorders>
              <w:top w:val="nil"/>
              <w:left w:val="nil"/>
              <w:bottom w:val="nil"/>
              <w:right w:val="nil"/>
            </w:tcBorders>
          </w:tcPr>
          <w:p w14:paraId="1BC1440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Disability</w:t>
            </w:r>
          </w:p>
        </w:tc>
        <w:tc>
          <w:tcPr>
            <w:tcW w:w="2727" w:type="dxa"/>
            <w:tcBorders>
              <w:top w:val="nil"/>
              <w:left w:val="nil"/>
              <w:bottom w:val="nil"/>
              <w:right w:val="nil"/>
            </w:tcBorders>
          </w:tcPr>
          <w:p w14:paraId="605B21D2"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32D635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none</w:t>
            </w:r>
          </w:p>
        </w:tc>
        <w:tc>
          <w:tcPr>
            <w:tcW w:w="2568" w:type="dxa"/>
            <w:tcBorders>
              <w:top w:val="nil"/>
              <w:left w:val="nil"/>
              <w:bottom w:val="nil"/>
              <w:right w:val="nil"/>
            </w:tcBorders>
          </w:tcPr>
          <w:p w14:paraId="1F4993BF"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64B5B94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bl>
    <w:p w14:paraId="1D6B5545" w14:textId="77777777" w:rsidR="00247106" w:rsidRDefault="00247106" w:rsidP="00110EC0">
      <w:pPr>
        <w:spacing w:after="0" w:line="240" w:lineRule="auto"/>
        <w:jc w:val="both"/>
        <w:rPr>
          <w:rFonts w:ascii="Times New Roman" w:eastAsia="Calibri" w:hAnsi="Times New Roman" w:cs="Times New Roman"/>
          <w:sz w:val="20"/>
          <w:szCs w:val="20"/>
        </w:rPr>
      </w:pPr>
    </w:p>
    <w:p w14:paraId="39B3034C" w14:textId="77777777" w:rsidR="00247106" w:rsidRDefault="00247106" w:rsidP="00110EC0">
      <w:pPr>
        <w:spacing w:after="0" w:line="240" w:lineRule="auto"/>
        <w:jc w:val="both"/>
        <w:rPr>
          <w:rFonts w:ascii="Times New Roman" w:eastAsia="Calibri" w:hAnsi="Times New Roman" w:cs="Times New Roman"/>
          <w:sz w:val="20"/>
          <w:szCs w:val="20"/>
        </w:rPr>
      </w:pPr>
    </w:p>
    <w:p w14:paraId="23923C2C" w14:textId="77777777" w:rsidR="00247106" w:rsidRPr="0004552D" w:rsidRDefault="00247106" w:rsidP="00110EC0">
      <w:pPr>
        <w:spacing w:after="0" w:line="240" w:lineRule="auto"/>
        <w:jc w:val="both"/>
        <w:rPr>
          <w:rFonts w:ascii="Times New Roman" w:eastAsia="Calibri" w:hAnsi="Times New Roman" w:cs="Times New Roman"/>
          <w:sz w:val="20"/>
          <w:szCs w:val="20"/>
        </w:rPr>
      </w:pPr>
    </w:p>
    <w:p w14:paraId="3C1B3B5A" w14:textId="3D112D77" w:rsidR="00C43CFB" w:rsidRPr="0004552D" w:rsidRDefault="00247106" w:rsidP="00110EC0">
      <w:pPr>
        <w:autoSpaceDE w:val="0"/>
        <w:autoSpaceDN w:val="0"/>
        <w:adjustRightInd w:val="0"/>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 xml:space="preserve">The actuarial assumptions used in the September 30, </w:t>
      </w:r>
      <w:proofErr w:type="gramStart"/>
      <w:r w:rsidRPr="00247106">
        <w:rPr>
          <w:rFonts w:ascii="Times New Roman" w:eastAsia="Calibri" w:hAnsi="Times New Roman" w:cs="Times New Roman"/>
          <w:sz w:val="20"/>
          <w:szCs w:val="20"/>
        </w:rPr>
        <w:t>202</w:t>
      </w:r>
      <w:r w:rsidR="00F61FC8">
        <w:rPr>
          <w:rFonts w:ascii="Times New Roman" w:eastAsia="Calibri" w:hAnsi="Times New Roman" w:cs="Times New Roman"/>
          <w:sz w:val="20"/>
          <w:szCs w:val="20"/>
        </w:rPr>
        <w:t>2</w:t>
      </w:r>
      <w:proofErr w:type="gramEnd"/>
      <w:r w:rsidRPr="00247106">
        <w:rPr>
          <w:rFonts w:ascii="Times New Roman" w:eastAsia="Calibri" w:hAnsi="Times New Roman" w:cs="Times New Roman"/>
          <w:sz w:val="20"/>
          <w:szCs w:val="20"/>
        </w:rPr>
        <w:t xml:space="preserve"> valuation were based on the results of an actuarial experience study for the period October 1, 2015 – September 30, 2020.</w:t>
      </w:r>
    </w:p>
    <w:p w14:paraId="7BC0BD97"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C363827" w14:textId="77777777"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714F208" w14:textId="77777777" w:rsidR="00037E8B" w:rsidRDefault="00037E8B" w:rsidP="00110EC0">
      <w:pPr>
        <w:autoSpaceDE w:val="0"/>
        <w:autoSpaceDN w:val="0"/>
        <w:adjustRightInd w:val="0"/>
        <w:spacing w:after="0" w:line="240" w:lineRule="auto"/>
        <w:jc w:val="both"/>
        <w:rPr>
          <w:rFonts w:ascii="Times New Roman" w:eastAsia="Calibri" w:hAnsi="Times New Roman" w:cs="Times New Roman"/>
          <w:sz w:val="20"/>
          <w:szCs w:val="20"/>
        </w:rPr>
      </w:pPr>
    </w:p>
    <w:p w14:paraId="3995E9C9"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bl>
      <w:tblPr>
        <w:tblW w:w="0" w:type="auto"/>
        <w:tblInd w:w="86" w:type="dxa"/>
        <w:tblLayout w:type="fixed"/>
        <w:tblCellMar>
          <w:left w:w="0" w:type="dxa"/>
          <w:right w:w="0" w:type="dxa"/>
        </w:tblCellMar>
        <w:tblLook w:val="0000" w:firstRow="0" w:lastRow="0" w:firstColumn="0" w:lastColumn="0" w:noHBand="0" w:noVBand="0"/>
      </w:tblPr>
      <w:tblGrid>
        <w:gridCol w:w="3523"/>
        <w:gridCol w:w="2150"/>
        <w:gridCol w:w="3495"/>
      </w:tblGrid>
      <w:tr w:rsidR="00247106" w:rsidRPr="00247106" w14:paraId="1EB80ECC" w14:textId="77777777">
        <w:trPr>
          <w:trHeight w:hRule="exact" w:val="568"/>
        </w:trPr>
        <w:tc>
          <w:tcPr>
            <w:tcW w:w="3523" w:type="dxa"/>
            <w:tcBorders>
              <w:top w:val="single" w:sz="11" w:space="0" w:color="000000"/>
              <w:left w:val="single" w:sz="11" w:space="0" w:color="000000"/>
              <w:bottom w:val="nil"/>
              <w:right w:val="nil"/>
            </w:tcBorders>
            <w:shd w:val="clear" w:color="auto" w:fill="365F91"/>
          </w:tcPr>
          <w:p w14:paraId="4736856F"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Asset Class</w:t>
            </w:r>
          </w:p>
        </w:tc>
        <w:tc>
          <w:tcPr>
            <w:tcW w:w="2150" w:type="dxa"/>
            <w:tcBorders>
              <w:top w:val="single" w:sz="11" w:space="0" w:color="000000"/>
              <w:left w:val="nil"/>
              <w:bottom w:val="nil"/>
              <w:right w:val="nil"/>
            </w:tcBorders>
            <w:shd w:val="clear" w:color="auto" w:fill="365F91"/>
          </w:tcPr>
          <w:p w14:paraId="11A9BCC2"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Target Allocation</w:t>
            </w:r>
          </w:p>
        </w:tc>
        <w:tc>
          <w:tcPr>
            <w:tcW w:w="3495" w:type="dxa"/>
            <w:tcBorders>
              <w:top w:val="single" w:sz="11" w:space="0" w:color="000000"/>
              <w:left w:val="nil"/>
              <w:bottom w:val="nil"/>
              <w:right w:val="single" w:sz="11" w:space="0" w:color="000000"/>
            </w:tcBorders>
            <w:shd w:val="clear" w:color="auto" w:fill="365F91"/>
          </w:tcPr>
          <w:p w14:paraId="37BB124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Long-Term Expected Rate of Return*</w:t>
            </w:r>
          </w:p>
        </w:tc>
      </w:tr>
      <w:tr w:rsidR="00247106" w:rsidRPr="00247106" w14:paraId="202BCF86" w14:textId="77777777">
        <w:trPr>
          <w:trHeight w:hRule="exact" w:val="379"/>
        </w:trPr>
        <w:tc>
          <w:tcPr>
            <w:tcW w:w="3523" w:type="dxa"/>
            <w:tcBorders>
              <w:top w:val="nil"/>
              <w:left w:val="single" w:sz="11" w:space="0" w:color="000000"/>
              <w:bottom w:val="nil"/>
              <w:right w:val="nil"/>
            </w:tcBorders>
          </w:tcPr>
          <w:p w14:paraId="161C710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Fixed Income</w:t>
            </w:r>
          </w:p>
        </w:tc>
        <w:tc>
          <w:tcPr>
            <w:tcW w:w="2150" w:type="dxa"/>
            <w:tcBorders>
              <w:top w:val="nil"/>
              <w:left w:val="nil"/>
              <w:bottom w:val="nil"/>
              <w:right w:val="nil"/>
            </w:tcBorders>
          </w:tcPr>
          <w:p w14:paraId="5C28762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15.0%</w:t>
            </w:r>
          </w:p>
        </w:tc>
        <w:tc>
          <w:tcPr>
            <w:tcW w:w="3495" w:type="dxa"/>
            <w:tcBorders>
              <w:top w:val="nil"/>
              <w:left w:val="nil"/>
              <w:bottom w:val="nil"/>
              <w:right w:val="single" w:sz="11" w:space="0" w:color="000000"/>
            </w:tcBorders>
          </w:tcPr>
          <w:p w14:paraId="174A806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2.8%</w:t>
            </w:r>
          </w:p>
        </w:tc>
      </w:tr>
      <w:tr w:rsidR="00247106" w:rsidRPr="00247106" w14:paraId="170A2AB9" w14:textId="77777777">
        <w:trPr>
          <w:trHeight w:hRule="exact" w:val="276"/>
        </w:trPr>
        <w:tc>
          <w:tcPr>
            <w:tcW w:w="3523" w:type="dxa"/>
            <w:tcBorders>
              <w:top w:val="nil"/>
              <w:left w:val="single" w:sz="11" w:space="0" w:color="000000"/>
              <w:bottom w:val="nil"/>
              <w:right w:val="nil"/>
            </w:tcBorders>
          </w:tcPr>
          <w:p w14:paraId="4BC509B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Large Stocks</w:t>
            </w:r>
          </w:p>
        </w:tc>
        <w:tc>
          <w:tcPr>
            <w:tcW w:w="2150" w:type="dxa"/>
            <w:tcBorders>
              <w:top w:val="nil"/>
              <w:left w:val="nil"/>
              <w:bottom w:val="nil"/>
              <w:right w:val="nil"/>
            </w:tcBorders>
          </w:tcPr>
          <w:p w14:paraId="6111A61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32.0%</w:t>
            </w:r>
          </w:p>
        </w:tc>
        <w:tc>
          <w:tcPr>
            <w:tcW w:w="3495" w:type="dxa"/>
            <w:tcBorders>
              <w:top w:val="nil"/>
              <w:left w:val="nil"/>
              <w:bottom w:val="nil"/>
              <w:right w:val="single" w:sz="11" w:space="0" w:color="000000"/>
            </w:tcBorders>
          </w:tcPr>
          <w:p w14:paraId="7D1E861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8.0%</w:t>
            </w:r>
          </w:p>
        </w:tc>
      </w:tr>
      <w:tr w:rsidR="00247106" w:rsidRPr="00247106" w14:paraId="3F198AEB" w14:textId="77777777">
        <w:trPr>
          <w:trHeight w:hRule="exact" w:val="276"/>
        </w:trPr>
        <w:tc>
          <w:tcPr>
            <w:tcW w:w="3523" w:type="dxa"/>
            <w:tcBorders>
              <w:top w:val="nil"/>
              <w:left w:val="single" w:sz="11" w:space="0" w:color="000000"/>
              <w:bottom w:val="nil"/>
              <w:right w:val="nil"/>
            </w:tcBorders>
          </w:tcPr>
          <w:p w14:paraId="7C15A81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Mid Stocks</w:t>
            </w:r>
          </w:p>
        </w:tc>
        <w:tc>
          <w:tcPr>
            <w:tcW w:w="2150" w:type="dxa"/>
            <w:tcBorders>
              <w:top w:val="nil"/>
              <w:left w:val="nil"/>
              <w:bottom w:val="nil"/>
              <w:right w:val="nil"/>
            </w:tcBorders>
          </w:tcPr>
          <w:p w14:paraId="65DE4CA0"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c>
          <w:tcPr>
            <w:tcW w:w="3495" w:type="dxa"/>
            <w:tcBorders>
              <w:top w:val="nil"/>
              <w:left w:val="nil"/>
              <w:bottom w:val="nil"/>
              <w:right w:val="single" w:sz="11" w:space="0" w:color="000000"/>
            </w:tcBorders>
          </w:tcPr>
          <w:p w14:paraId="1C2E810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r>
      <w:tr w:rsidR="00247106" w:rsidRPr="00247106" w14:paraId="5A88976A" w14:textId="77777777">
        <w:trPr>
          <w:trHeight w:hRule="exact" w:val="276"/>
        </w:trPr>
        <w:tc>
          <w:tcPr>
            <w:tcW w:w="3523" w:type="dxa"/>
            <w:tcBorders>
              <w:top w:val="nil"/>
              <w:left w:val="single" w:sz="11" w:space="0" w:color="000000"/>
              <w:bottom w:val="nil"/>
              <w:right w:val="nil"/>
            </w:tcBorders>
          </w:tcPr>
          <w:p w14:paraId="51F31FE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Small Stocks</w:t>
            </w:r>
          </w:p>
        </w:tc>
        <w:tc>
          <w:tcPr>
            <w:tcW w:w="2150" w:type="dxa"/>
            <w:tcBorders>
              <w:top w:val="nil"/>
              <w:left w:val="nil"/>
              <w:bottom w:val="nil"/>
              <w:right w:val="nil"/>
            </w:tcBorders>
          </w:tcPr>
          <w:p w14:paraId="771AD1A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4.0%</w:t>
            </w:r>
          </w:p>
        </w:tc>
        <w:tc>
          <w:tcPr>
            <w:tcW w:w="3495" w:type="dxa"/>
            <w:tcBorders>
              <w:top w:val="nil"/>
              <w:left w:val="nil"/>
              <w:bottom w:val="nil"/>
              <w:right w:val="single" w:sz="11" w:space="0" w:color="000000"/>
            </w:tcBorders>
          </w:tcPr>
          <w:p w14:paraId="5AE9E87B"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14:paraId="41859C0B" w14:textId="77777777">
        <w:trPr>
          <w:trHeight w:hRule="exact" w:val="276"/>
        </w:trPr>
        <w:tc>
          <w:tcPr>
            <w:tcW w:w="3523" w:type="dxa"/>
            <w:tcBorders>
              <w:top w:val="nil"/>
              <w:left w:val="single" w:sz="11" w:space="0" w:color="000000"/>
              <w:bottom w:val="nil"/>
              <w:right w:val="nil"/>
            </w:tcBorders>
          </w:tcPr>
          <w:p w14:paraId="4525AA7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Developed Mkt Stocks</w:t>
            </w:r>
          </w:p>
        </w:tc>
        <w:tc>
          <w:tcPr>
            <w:tcW w:w="2150" w:type="dxa"/>
            <w:tcBorders>
              <w:top w:val="nil"/>
              <w:left w:val="nil"/>
              <w:bottom w:val="nil"/>
              <w:right w:val="nil"/>
            </w:tcBorders>
          </w:tcPr>
          <w:p w14:paraId="5109020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12.0%</w:t>
            </w:r>
          </w:p>
        </w:tc>
        <w:tc>
          <w:tcPr>
            <w:tcW w:w="3495" w:type="dxa"/>
            <w:tcBorders>
              <w:top w:val="nil"/>
              <w:left w:val="nil"/>
              <w:bottom w:val="nil"/>
              <w:right w:val="single" w:sz="11" w:space="0" w:color="000000"/>
            </w:tcBorders>
          </w:tcPr>
          <w:p w14:paraId="619F90DF"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9.5%</w:t>
            </w:r>
          </w:p>
        </w:tc>
      </w:tr>
      <w:tr w:rsidR="00247106" w:rsidRPr="00247106" w14:paraId="51D74E19" w14:textId="77777777">
        <w:trPr>
          <w:trHeight w:hRule="exact" w:val="276"/>
        </w:trPr>
        <w:tc>
          <w:tcPr>
            <w:tcW w:w="3523" w:type="dxa"/>
            <w:tcBorders>
              <w:top w:val="nil"/>
              <w:left w:val="single" w:sz="11" w:space="0" w:color="000000"/>
              <w:bottom w:val="nil"/>
              <w:right w:val="nil"/>
            </w:tcBorders>
          </w:tcPr>
          <w:p w14:paraId="3DC0347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Emerging Mkt Stocks</w:t>
            </w:r>
          </w:p>
        </w:tc>
        <w:tc>
          <w:tcPr>
            <w:tcW w:w="2150" w:type="dxa"/>
            <w:tcBorders>
              <w:top w:val="nil"/>
              <w:left w:val="nil"/>
              <w:bottom w:val="nil"/>
              <w:right w:val="nil"/>
            </w:tcBorders>
          </w:tcPr>
          <w:p w14:paraId="11A9138B"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3.0%</w:t>
            </w:r>
          </w:p>
        </w:tc>
        <w:tc>
          <w:tcPr>
            <w:tcW w:w="3495" w:type="dxa"/>
            <w:tcBorders>
              <w:top w:val="nil"/>
              <w:left w:val="nil"/>
              <w:bottom w:val="nil"/>
              <w:right w:val="single" w:sz="11" w:space="0" w:color="000000"/>
            </w:tcBorders>
          </w:tcPr>
          <w:p w14:paraId="1E5F8753"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14:paraId="21457E1F" w14:textId="77777777">
        <w:trPr>
          <w:trHeight w:hRule="exact" w:val="276"/>
        </w:trPr>
        <w:tc>
          <w:tcPr>
            <w:tcW w:w="3523" w:type="dxa"/>
            <w:tcBorders>
              <w:top w:val="nil"/>
              <w:left w:val="single" w:sz="11" w:space="0" w:color="000000"/>
              <w:bottom w:val="nil"/>
              <w:right w:val="nil"/>
            </w:tcBorders>
          </w:tcPr>
          <w:p w14:paraId="4BDBF1D8"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Alternatives</w:t>
            </w:r>
          </w:p>
        </w:tc>
        <w:tc>
          <w:tcPr>
            <w:tcW w:w="2150" w:type="dxa"/>
            <w:tcBorders>
              <w:top w:val="nil"/>
              <w:left w:val="nil"/>
              <w:bottom w:val="nil"/>
              <w:right w:val="nil"/>
            </w:tcBorders>
          </w:tcPr>
          <w:p w14:paraId="4FD9C05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14:paraId="6FB581E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r>
      <w:tr w:rsidR="00247106" w:rsidRPr="00247106" w14:paraId="266559F9" w14:textId="77777777">
        <w:trPr>
          <w:trHeight w:hRule="exact" w:val="276"/>
        </w:trPr>
        <w:tc>
          <w:tcPr>
            <w:tcW w:w="3523" w:type="dxa"/>
            <w:tcBorders>
              <w:top w:val="nil"/>
              <w:left w:val="single" w:sz="11" w:space="0" w:color="000000"/>
              <w:bottom w:val="nil"/>
              <w:right w:val="nil"/>
            </w:tcBorders>
          </w:tcPr>
          <w:p w14:paraId="020420D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Real Estate</w:t>
            </w:r>
          </w:p>
        </w:tc>
        <w:tc>
          <w:tcPr>
            <w:tcW w:w="2150" w:type="dxa"/>
            <w:tcBorders>
              <w:top w:val="nil"/>
              <w:left w:val="nil"/>
              <w:bottom w:val="nil"/>
              <w:right w:val="nil"/>
            </w:tcBorders>
          </w:tcPr>
          <w:p w14:paraId="736C86B5"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14:paraId="2578CD3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6.5%</w:t>
            </w:r>
          </w:p>
        </w:tc>
      </w:tr>
      <w:tr w:rsidR="00247106" w:rsidRPr="00247106" w14:paraId="15DC360B" w14:textId="77777777">
        <w:trPr>
          <w:trHeight w:hRule="exact" w:val="322"/>
        </w:trPr>
        <w:tc>
          <w:tcPr>
            <w:tcW w:w="3523" w:type="dxa"/>
            <w:tcBorders>
              <w:top w:val="nil"/>
              <w:left w:val="single" w:sz="11" w:space="0" w:color="000000"/>
              <w:bottom w:val="nil"/>
              <w:right w:val="nil"/>
            </w:tcBorders>
          </w:tcPr>
          <w:p w14:paraId="193978A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Cash</w:t>
            </w:r>
          </w:p>
        </w:tc>
        <w:tc>
          <w:tcPr>
            <w:tcW w:w="2150" w:type="dxa"/>
            <w:tcBorders>
              <w:top w:val="nil"/>
              <w:left w:val="nil"/>
              <w:bottom w:val="nil"/>
              <w:right w:val="nil"/>
            </w:tcBorders>
          </w:tcPr>
          <w:p w14:paraId="4CD583CA"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u w:val="single"/>
              </w:rPr>
              <w:t xml:space="preserve">   5.0%</w:t>
            </w:r>
          </w:p>
        </w:tc>
        <w:tc>
          <w:tcPr>
            <w:tcW w:w="3495" w:type="dxa"/>
            <w:tcBorders>
              <w:top w:val="nil"/>
              <w:left w:val="nil"/>
              <w:bottom w:val="nil"/>
              <w:right w:val="single" w:sz="11" w:space="0" w:color="000000"/>
            </w:tcBorders>
          </w:tcPr>
          <w:p w14:paraId="362DCB4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w:t>
            </w:r>
          </w:p>
        </w:tc>
      </w:tr>
      <w:tr w:rsidR="00247106" w:rsidRPr="00247106" w14:paraId="637CF47B" w14:textId="77777777">
        <w:trPr>
          <w:trHeight w:hRule="exact" w:val="418"/>
        </w:trPr>
        <w:tc>
          <w:tcPr>
            <w:tcW w:w="3523" w:type="dxa"/>
            <w:tcBorders>
              <w:top w:val="nil"/>
              <w:left w:val="single" w:sz="11" w:space="0" w:color="000000"/>
              <w:bottom w:val="single" w:sz="11" w:space="0" w:color="000000"/>
              <w:right w:val="nil"/>
            </w:tcBorders>
          </w:tcPr>
          <w:p w14:paraId="3C11EFE8"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lastRenderedPageBreak/>
              <w:t>Total</w:t>
            </w:r>
          </w:p>
        </w:tc>
        <w:tc>
          <w:tcPr>
            <w:tcW w:w="2150" w:type="dxa"/>
            <w:tcBorders>
              <w:top w:val="nil"/>
              <w:left w:val="nil"/>
              <w:bottom w:val="single" w:sz="11" w:space="0" w:color="000000"/>
              <w:right w:val="nil"/>
            </w:tcBorders>
          </w:tcPr>
          <w:p w14:paraId="172D5BB2"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100.0%</w:t>
            </w:r>
          </w:p>
        </w:tc>
        <w:tc>
          <w:tcPr>
            <w:tcW w:w="3495" w:type="dxa"/>
            <w:tcBorders>
              <w:top w:val="nil"/>
              <w:left w:val="nil"/>
              <w:bottom w:val="single" w:sz="11" w:space="0" w:color="000000"/>
              <w:right w:val="single" w:sz="11" w:space="0" w:color="000000"/>
            </w:tcBorders>
          </w:tcPr>
          <w:p w14:paraId="422368EC"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c>
      </w:tr>
    </w:tbl>
    <w:p w14:paraId="4BBC0F37" w14:textId="77777777" w:rsidR="00247106" w:rsidRPr="00247106" w:rsidRDefault="00247106" w:rsidP="00110EC0">
      <w:pPr>
        <w:autoSpaceDE w:val="0"/>
        <w:autoSpaceDN w:val="0"/>
        <w:adjustRightInd w:val="0"/>
        <w:spacing w:after="0" w:line="240" w:lineRule="auto"/>
        <w:jc w:val="both"/>
        <w:rPr>
          <w:rFonts w:ascii="Times New Roman" w:hAnsi="Times New Roman" w:cs="Times New Roman"/>
          <w:color w:val="2B2A29"/>
          <w:spacing w:val="-2"/>
          <w:sz w:val="19"/>
          <w:szCs w:val="19"/>
        </w:rPr>
      </w:pPr>
      <w:r>
        <w:rPr>
          <w:rFonts w:ascii="Times New Roman" w:hAnsi="Times New Roman" w:cs="Times New Roman"/>
          <w:color w:val="2B2A29"/>
          <w:spacing w:val="-2"/>
          <w:sz w:val="19"/>
          <w:szCs w:val="19"/>
        </w:rPr>
        <w:tab/>
      </w:r>
      <w:r>
        <w:rPr>
          <w:rFonts w:ascii="Times New Roman" w:hAnsi="Times New Roman" w:cs="Times New Roman"/>
          <w:color w:val="2B2A29"/>
          <w:spacing w:val="-2"/>
          <w:sz w:val="19"/>
          <w:szCs w:val="19"/>
        </w:rPr>
        <w:tab/>
        <w:t>*Includes assumed rate of inflation of 2.00%</w:t>
      </w:r>
    </w:p>
    <w:p w14:paraId="08A0867A" w14:textId="77777777"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14:paraId="5F62B2D2" w14:textId="77777777" w:rsidR="00524A81" w:rsidRDefault="00524A81"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p>
    <w:p w14:paraId="1153B377" w14:textId="1C3CB118"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14:paraId="53189819"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14:paraId="718FD5F0" w14:textId="77777777"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w:t>
      </w:r>
      <w:r w:rsidR="00602DF3" w:rsidRPr="0004552D">
        <w:rPr>
          <w:rFonts w:ascii="Times New Roman" w:eastAsia="Calibri" w:hAnsi="Times New Roman" w:cs="Times New Roman"/>
          <w:sz w:val="20"/>
          <w:szCs w:val="20"/>
        </w:rPr>
        <w:t>long-term</w:t>
      </w:r>
      <w:r w:rsidR="00037E8B" w:rsidRPr="0004552D">
        <w:rPr>
          <w:rFonts w:ascii="Times New Roman" w:eastAsia="Calibri" w:hAnsi="Times New Roman" w:cs="Times New Roman"/>
          <w:sz w:val="20"/>
          <w:szCs w:val="20"/>
        </w:rPr>
        <w:t xml:space="preserve"> rate of return,</w:t>
      </w:r>
      <w:r w:rsidR="00397933">
        <w:rPr>
          <w:rFonts w:ascii="Times New Roman" w:eastAsia="Calibri" w:hAnsi="Times New Roman" w:cs="Times New Roman"/>
          <w:sz w:val="20"/>
          <w:szCs w:val="20"/>
        </w:rPr>
        <w:t xml:space="preserve"> 7.</w:t>
      </w:r>
      <w:r w:rsidR="00247106">
        <w:rPr>
          <w:rFonts w:ascii="Times New Roman" w:eastAsia="Calibri" w:hAnsi="Times New Roman" w:cs="Times New Roman"/>
          <w:sz w:val="20"/>
          <w:szCs w:val="20"/>
        </w:rPr>
        <w:t>45</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Based on those assumptions, components of the pension plan’s fiduciary net position were projected to be available to make all projected future benefit payments of current p</w:t>
      </w:r>
      <w:r w:rsidR="00602DF3">
        <w:rPr>
          <w:rFonts w:ascii="Times New Roman" w:eastAsia="Calibri" w:hAnsi="Times New Roman" w:cs="Times New Roman"/>
          <w:sz w:val="20"/>
          <w:szCs w:val="20"/>
        </w:rPr>
        <w:t>l</w:t>
      </w:r>
      <w:r w:rsidRPr="0004552D">
        <w:rPr>
          <w:rFonts w:ascii="Times New Roman" w:eastAsia="Calibri" w:hAnsi="Times New Roman" w:cs="Times New Roman"/>
          <w:sz w:val="20"/>
          <w:szCs w:val="20"/>
        </w:rPr>
        <w:t xml:space="preserve">an members. Therefore, the long-term expected rate of return on pension plan investments was applied to all periods of projected benefit payments to determine the total pension liability. </w:t>
      </w:r>
    </w:p>
    <w:p w14:paraId="360F56BE" w14:textId="77777777"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14:paraId="2E98A972" w14:textId="77777777"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Changes in Net Pension Liability</w:t>
      </w:r>
    </w:p>
    <w:p w14:paraId="31A9578D" w14:textId="77777777"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14:paraId="30BD4300" w14:textId="77777777" w:rsidTr="003A7EAC">
        <w:trPr>
          <w:trHeight w:val="300"/>
          <w:jc w:val="center"/>
        </w:trPr>
        <w:tc>
          <w:tcPr>
            <w:tcW w:w="126" w:type="pct"/>
            <w:shd w:val="clear" w:color="auto" w:fill="auto"/>
            <w:noWrap/>
            <w:vAlign w:val="bottom"/>
            <w:hideMark/>
          </w:tcPr>
          <w:p w14:paraId="48908D98"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14:paraId="6C94E41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14:paraId="26FF71CB"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14:paraId="23F49509" w14:textId="77777777" w:rsidTr="003A7EAC">
        <w:trPr>
          <w:trHeight w:val="300"/>
          <w:jc w:val="center"/>
        </w:trPr>
        <w:tc>
          <w:tcPr>
            <w:tcW w:w="126" w:type="pct"/>
            <w:shd w:val="clear" w:color="auto" w:fill="auto"/>
            <w:noWrap/>
            <w:vAlign w:val="bottom"/>
            <w:hideMark/>
          </w:tcPr>
          <w:p w14:paraId="67C03110"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14:paraId="5327196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1E05DE5B"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14:paraId="62301868"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6A253554" w14:textId="77777777"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14:paraId="307BD8C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14:paraId="1A37BDB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67758ECF"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14:paraId="4F29ACD9" w14:textId="77777777" w:rsidTr="003A7EAC">
        <w:trPr>
          <w:trHeight w:val="300"/>
          <w:jc w:val="center"/>
        </w:trPr>
        <w:tc>
          <w:tcPr>
            <w:tcW w:w="126" w:type="pct"/>
            <w:shd w:val="clear" w:color="auto" w:fill="auto"/>
            <w:noWrap/>
            <w:vAlign w:val="bottom"/>
            <w:hideMark/>
          </w:tcPr>
          <w:p w14:paraId="79063B14"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14:paraId="7F15730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74EB1B60"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14:paraId="7A861C7F"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0600204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14:paraId="4DE2620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00D6E55C"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14:paraId="71E44FE7" w14:textId="77777777" w:rsidTr="003A7EAC">
        <w:trPr>
          <w:trHeight w:val="300"/>
          <w:jc w:val="center"/>
        </w:trPr>
        <w:tc>
          <w:tcPr>
            <w:tcW w:w="126" w:type="pct"/>
            <w:shd w:val="clear" w:color="auto" w:fill="auto"/>
            <w:noWrap/>
            <w:vAlign w:val="bottom"/>
            <w:hideMark/>
          </w:tcPr>
          <w:p w14:paraId="0CD8E40B"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14:paraId="77B1257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61F6BA77"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14:paraId="515C53A7"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5E02012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14:paraId="0DF282E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2B94433D"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14:paraId="4F215DDA" w14:textId="77777777" w:rsidTr="003A7EAC">
        <w:trPr>
          <w:trHeight w:val="300"/>
          <w:jc w:val="center"/>
        </w:trPr>
        <w:tc>
          <w:tcPr>
            <w:tcW w:w="2404" w:type="pct"/>
            <w:gridSpan w:val="2"/>
            <w:shd w:val="clear" w:color="auto" w:fill="auto"/>
            <w:noWrap/>
            <w:vAlign w:val="bottom"/>
            <w:hideMark/>
          </w:tcPr>
          <w:p w14:paraId="5EDA3B77" w14:textId="2A3BF154"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w:t>
            </w:r>
            <w:r w:rsidR="00E83C8F">
              <w:rPr>
                <w:rFonts w:ascii="Times New Roman" w:eastAsia="Times New Roman" w:hAnsi="Times New Roman" w:cs="Times New Roman"/>
                <w:b/>
                <w:bCs/>
                <w:color w:val="000000"/>
                <w:sz w:val="20"/>
                <w:szCs w:val="20"/>
              </w:rPr>
              <w:t>2</w:t>
            </w:r>
            <w:r w:rsidR="00F61FC8">
              <w:rPr>
                <w:rFonts w:ascii="Times New Roman" w:eastAsia="Times New Roman" w:hAnsi="Times New Roman" w:cs="Times New Roman"/>
                <w:b/>
                <w:bCs/>
                <w:color w:val="000000"/>
                <w:sz w:val="20"/>
                <w:szCs w:val="20"/>
              </w:rPr>
              <w:t>3</w:t>
            </w:r>
          </w:p>
        </w:tc>
        <w:tc>
          <w:tcPr>
            <w:tcW w:w="625" w:type="pct"/>
            <w:gridSpan w:val="2"/>
            <w:shd w:val="clear" w:color="auto" w:fill="auto"/>
            <w:noWrap/>
            <w:vAlign w:val="bottom"/>
            <w:hideMark/>
          </w:tcPr>
          <w:p w14:paraId="75282975"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14:paraId="20CB568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14:paraId="33C4528A"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14:paraId="0D9F4084"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14:paraId="317ACD4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14:paraId="3BFDF85C" w14:textId="77777777" w:rsidTr="003A7EAC">
        <w:trPr>
          <w:trHeight w:val="300"/>
          <w:jc w:val="center"/>
        </w:trPr>
        <w:tc>
          <w:tcPr>
            <w:tcW w:w="2404" w:type="pct"/>
            <w:gridSpan w:val="2"/>
            <w:shd w:val="clear" w:color="auto" w:fill="auto"/>
            <w:noWrap/>
            <w:vAlign w:val="bottom"/>
            <w:hideMark/>
          </w:tcPr>
          <w:p w14:paraId="4E1A5E38" w14:textId="77777777"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14:paraId="649D6501"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0538CF54"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14:paraId="6F76759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2E895AC0"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14:paraId="666B433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14:paraId="4420E205" w14:textId="77777777" w:rsidTr="003A7EAC">
        <w:trPr>
          <w:trHeight w:val="300"/>
          <w:jc w:val="center"/>
        </w:trPr>
        <w:tc>
          <w:tcPr>
            <w:tcW w:w="126" w:type="pct"/>
            <w:shd w:val="clear" w:color="auto" w:fill="auto"/>
            <w:noWrap/>
            <w:vAlign w:val="bottom"/>
            <w:hideMark/>
          </w:tcPr>
          <w:p w14:paraId="192DAC6E" w14:textId="77777777"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14:paraId="083CA49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14:paraId="19842521" w14:textId="77777777"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14:paraId="7D9133C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467B9256" w14:textId="77777777"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14:paraId="0DA9C6A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536031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6B82E27D" w14:textId="77777777" w:rsidTr="003A7EAC">
        <w:trPr>
          <w:trHeight w:val="300"/>
          <w:jc w:val="center"/>
        </w:trPr>
        <w:tc>
          <w:tcPr>
            <w:tcW w:w="126" w:type="pct"/>
            <w:shd w:val="clear" w:color="auto" w:fill="auto"/>
            <w:noWrap/>
            <w:vAlign w:val="bottom"/>
            <w:hideMark/>
          </w:tcPr>
          <w:p w14:paraId="3C8BA5CB"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4643DA1"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14:paraId="249D1E0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3A95085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026EEF9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4EA4DD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5BB9371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2C81CAE6" w14:textId="77777777" w:rsidTr="003A7EAC">
        <w:trPr>
          <w:trHeight w:val="300"/>
          <w:jc w:val="center"/>
        </w:trPr>
        <w:tc>
          <w:tcPr>
            <w:tcW w:w="126" w:type="pct"/>
            <w:shd w:val="clear" w:color="auto" w:fill="auto"/>
            <w:noWrap/>
            <w:vAlign w:val="bottom"/>
            <w:hideMark/>
          </w:tcPr>
          <w:p w14:paraId="1737C8A7"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219703B"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14:paraId="34F35ECD"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14:paraId="7788B05E"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51E2F471"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0AC87B4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82E1FAB"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1F58D046" w14:textId="77777777" w:rsidTr="003A7EAC">
        <w:trPr>
          <w:trHeight w:val="300"/>
          <w:jc w:val="center"/>
        </w:trPr>
        <w:tc>
          <w:tcPr>
            <w:tcW w:w="126" w:type="pct"/>
            <w:shd w:val="clear" w:color="auto" w:fill="auto"/>
            <w:noWrap/>
            <w:vAlign w:val="bottom"/>
            <w:hideMark/>
          </w:tcPr>
          <w:p w14:paraId="0A51A2FD"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78E677A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14:paraId="3C8A621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3E3085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57C2E916"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6B74CCC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7AE0DBA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43D16248" w14:textId="77777777" w:rsidTr="003A7EAC">
        <w:trPr>
          <w:trHeight w:val="300"/>
          <w:jc w:val="center"/>
        </w:trPr>
        <w:tc>
          <w:tcPr>
            <w:tcW w:w="126" w:type="pct"/>
            <w:shd w:val="clear" w:color="auto" w:fill="auto"/>
            <w:noWrap/>
            <w:vAlign w:val="bottom"/>
            <w:hideMark/>
          </w:tcPr>
          <w:p w14:paraId="2D3ABF1C"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41C2590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14:paraId="57DF5DA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F18BB4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62D4F33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1E84A60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61E25B31"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3321D6DE" w14:textId="77777777" w:rsidTr="003A7EAC">
        <w:trPr>
          <w:trHeight w:val="300"/>
          <w:jc w:val="center"/>
        </w:trPr>
        <w:tc>
          <w:tcPr>
            <w:tcW w:w="126" w:type="pct"/>
            <w:shd w:val="clear" w:color="auto" w:fill="auto"/>
            <w:noWrap/>
            <w:vAlign w:val="bottom"/>
            <w:hideMark/>
          </w:tcPr>
          <w:p w14:paraId="52B44B2F"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69B51A8C"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14:paraId="63C849D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15C5CD4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606095D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4609D9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398B615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06762EEF" w14:textId="77777777" w:rsidTr="003A7EAC">
        <w:trPr>
          <w:trHeight w:val="300"/>
          <w:jc w:val="center"/>
        </w:trPr>
        <w:tc>
          <w:tcPr>
            <w:tcW w:w="126" w:type="pct"/>
            <w:shd w:val="clear" w:color="auto" w:fill="auto"/>
            <w:noWrap/>
            <w:vAlign w:val="bottom"/>
            <w:hideMark/>
          </w:tcPr>
          <w:p w14:paraId="343CC616"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1A87FFC1"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14:paraId="6E6B46B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484856B"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0AFF107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6289B9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0EE51C2A"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6E7ECC3E" w14:textId="77777777" w:rsidTr="003A7EAC">
        <w:trPr>
          <w:trHeight w:val="300"/>
          <w:jc w:val="center"/>
        </w:trPr>
        <w:tc>
          <w:tcPr>
            <w:tcW w:w="126" w:type="pct"/>
            <w:shd w:val="clear" w:color="auto" w:fill="auto"/>
            <w:noWrap/>
            <w:vAlign w:val="bottom"/>
            <w:hideMark/>
          </w:tcPr>
          <w:p w14:paraId="7EF338B9"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3D4105C"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14:paraId="09847CB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3AB0D2B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2C90A1B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43984D7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4E05DE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4AF5171D" w14:textId="77777777" w:rsidTr="003A7EAC">
        <w:trPr>
          <w:trHeight w:val="300"/>
          <w:jc w:val="center"/>
        </w:trPr>
        <w:tc>
          <w:tcPr>
            <w:tcW w:w="126" w:type="pct"/>
            <w:shd w:val="clear" w:color="auto" w:fill="auto"/>
            <w:noWrap/>
            <w:vAlign w:val="bottom"/>
            <w:hideMark/>
          </w:tcPr>
          <w:p w14:paraId="116E4D41"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4F966B4A" w14:textId="77777777"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14:paraId="589EC3F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5DD0722E"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20B9494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F3DA260"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7A8B3EC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14:paraId="203A37C5" w14:textId="77777777" w:rsidTr="003A7EAC">
        <w:trPr>
          <w:trHeight w:val="315"/>
          <w:jc w:val="center"/>
        </w:trPr>
        <w:tc>
          <w:tcPr>
            <w:tcW w:w="126" w:type="pct"/>
            <w:shd w:val="clear" w:color="auto" w:fill="auto"/>
            <w:noWrap/>
            <w:vAlign w:val="bottom"/>
            <w:hideMark/>
          </w:tcPr>
          <w:p w14:paraId="378488E1"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7283F54E"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14:paraId="4B669BC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14:paraId="3A74326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16BDBFC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14:paraId="0874126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14:paraId="67F21D8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4E64B64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14:paraId="08B114D7"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14:paraId="0C79302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14:paraId="23E0833D" w14:textId="77777777" w:rsidTr="003A7EAC">
        <w:trPr>
          <w:trHeight w:val="330"/>
          <w:jc w:val="center"/>
        </w:trPr>
        <w:tc>
          <w:tcPr>
            <w:tcW w:w="2404" w:type="pct"/>
            <w:gridSpan w:val="2"/>
            <w:shd w:val="clear" w:color="auto" w:fill="auto"/>
            <w:noWrap/>
            <w:vAlign w:val="bottom"/>
            <w:hideMark/>
          </w:tcPr>
          <w:p w14:paraId="747A38FC" w14:textId="720C8834"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w:t>
            </w:r>
            <w:r w:rsidR="0046199E">
              <w:rPr>
                <w:rFonts w:ascii="Times New Roman" w:eastAsia="Times New Roman" w:hAnsi="Times New Roman" w:cs="Times New Roman"/>
                <w:b/>
                <w:bCs/>
                <w:color w:val="000000"/>
                <w:sz w:val="20"/>
                <w:szCs w:val="20"/>
              </w:rPr>
              <w:t>2</w:t>
            </w:r>
            <w:r w:rsidR="00F61FC8">
              <w:rPr>
                <w:rFonts w:ascii="Times New Roman" w:eastAsia="Times New Roman" w:hAnsi="Times New Roman" w:cs="Times New Roman"/>
                <w:b/>
                <w:bCs/>
                <w:color w:val="000000"/>
                <w:sz w:val="20"/>
                <w:szCs w:val="20"/>
              </w:rPr>
              <w:t>4</w:t>
            </w:r>
          </w:p>
        </w:tc>
        <w:tc>
          <w:tcPr>
            <w:tcW w:w="387" w:type="pct"/>
            <w:shd w:val="clear" w:color="auto" w:fill="auto"/>
            <w:noWrap/>
            <w:vAlign w:val="bottom"/>
            <w:hideMark/>
          </w:tcPr>
          <w:p w14:paraId="0FE9132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14:paraId="7B8FD54A"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57F6853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14:paraId="2760BF2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14:paraId="459336C1"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3BA86B4C"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14:paraId="47290CA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14:paraId="0CD6B4B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14:paraId="7717870F"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5" w:name="Pg213"/>
      <w:bookmarkStart w:id="6" w:name="Pg214"/>
      <w:bookmarkEnd w:id="5"/>
      <w:bookmarkEnd w:id="6"/>
    </w:p>
    <w:p w14:paraId="5CA54ABA" w14:textId="77777777" w:rsidR="00F34DA1" w:rsidRDefault="00F34DA1" w:rsidP="00110EC0">
      <w:pPr>
        <w:autoSpaceDE w:val="0"/>
        <w:autoSpaceDN w:val="0"/>
        <w:adjustRightInd w:val="0"/>
        <w:spacing w:after="0" w:line="240" w:lineRule="auto"/>
        <w:jc w:val="both"/>
        <w:rPr>
          <w:rFonts w:ascii="Times New Roman" w:hAnsi="Times New Roman" w:cs="Times New Roman"/>
          <w:b/>
          <w:i/>
          <w:iCs/>
          <w:color w:val="2B2A29"/>
          <w:w w:val="104"/>
          <w:sz w:val="20"/>
          <w:szCs w:val="20"/>
        </w:rPr>
      </w:pPr>
    </w:p>
    <w:p w14:paraId="4C309A36"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14:paraId="7F98DEE2"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14:paraId="26AB7911" w14:textId="77777777"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14:paraId="1B50497C" w14:textId="77777777" w:rsidR="00454F6C" w:rsidRPr="0004552D" w:rsidRDefault="002870C4"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w14:anchorId="1631E364">
          <v:shape id="_x0000_s1029" type="#_x0000_t75" style="position:absolute;left:0;text-align:left;margin-left:152pt;margin-top:4.6pt;width:179.85pt;height:89pt;z-index:251664384;mso-position-horizontal-relative:text;mso-position-vertical-relative:text">
            <v:imagedata r:id="rId14" o:title=""/>
            <o:lock v:ext="edit" aspectratio="f"/>
          </v:shape>
          <o:OLEObject Type="Embed" ProgID="Excel.Sheet.12" ShapeID="_x0000_s1029" DrawAspect="Content" ObjectID="_1812784974" r:id="rId15"/>
        </w:object>
      </w:r>
    </w:p>
    <w:p w14:paraId="721FD862"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4ABD2C99"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5664D34E"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50B3C7C"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4B1C697E"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1C07D7C6" w14:textId="77777777"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3ED87F7" w14:textId="77777777"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1DB835BE" w14:textId="77777777" w:rsidR="00524A81" w:rsidRDefault="00524A81"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p>
    <w:p w14:paraId="759636B6" w14:textId="77777777" w:rsidR="00524A81" w:rsidRDefault="00524A81"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p>
    <w:p w14:paraId="759F52F3" w14:textId="77777777" w:rsidR="00524A81" w:rsidRDefault="00524A81"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p>
    <w:p w14:paraId="78CC4BE0" w14:textId="77777777" w:rsidR="00524A81" w:rsidRDefault="00524A81"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p>
    <w:p w14:paraId="0257322D" w14:textId="77777777" w:rsidR="00524A81" w:rsidRDefault="00524A81"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p>
    <w:p w14:paraId="7A86020B" w14:textId="5087BC7F"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14:paraId="02094ED2"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3A217447" w14:textId="3B952AD4"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Detailed information about the pension plan’s fiduciary net position is available in the separately issued RSA </w:t>
      </w:r>
      <w:r w:rsidR="00602DF3">
        <w:rPr>
          <w:rFonts w:ascii="Times New Roman" w:eastAsia="Calibri" w:hAnsi="Times New Roman" w:cs="Times New Roman"/>
          <w:sz w:val="20"/>
          <w:szCs w:val="20"/>
        </w:rPr>
        <w:t xml:space="preserve">Annual </w:t>
      </w:r>
      <w:r w:rsidRPr="0004552D">
        <w:rPr>
          <w:rFonts w:ascii="Times New Roman" w:eastAsia="Calibri" w:hAnsi="Times New Roman" w:cs="Times New Roman"/>
          <w:sz w:val="20"/>
          <w:szCs w:val="20"/>
        </w:rPr>
        <w:t xml:space="preserve">Comprehensive </w:t>
      </w:r>
      <w:r w:rsidR="00602DF3">
        <w:rPr>
          <w:rFonts w:ascii="Times New Roman" w:eastAsia="Calibri" w:hAnsi="Times New Roman" w:cs="Times New Roman"/>
          <w:sz w:val="20"/>
          <w:szCs w:val="20"/>
        </w:rPr>
        <w:t>Financial</w:t>
      </w:r>
      <w:r w:rsidRPr="0004552D">
        <w:rPr>
          <w:rFonts w:ascii="Times New Roman" w:eastAsia="Calibri" w:hAnsi="Times New Roman" w:cs="Times New Roman"/>
          <w:sz w:val="20"/>
          <w:szCs w:val="20"/>
        </w:rPr>
        <w:t xml:space="preserve">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F61FC8">
        <w:rPr>
          <w:rFonts w:ascii="Times New Roman" w:eastAsia="Calibri" w:hAnsi="Times New Roman" w:cs="Times New Roman"/>
          <w:sz w:val="20"/>
          <w:szCs w:val="20"/>
        </w:rPr>
        <w:t>4</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F61FC8">
        <w:rPr>
          <w:rFonts w:ascii="Times New Roman" w:eastAsia="Calibri" w:hAnsi="Times New Roman" w:cs="Times New Roman"/>
          <w:sz w:val="20"/>
          <w:szCs w:val="20"/>
        </w:rPr>
        <w:t>4</w:t>
      </w:r>
      <w:r w:rsidRPr="0004552D">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The auditor’s report</w:t>
      </w:r>
      <w:r w:rsidR="00247106">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 xml:space="preserve">on the </w:t>
      </w:r>
      <w:r w:rsidR="00324E0D" w:rsidRPr="00F9304C">
        <w:rPr>
          <w:rFonts w:ascii="Times New Roman" w:eastAsia="Calibri" w:hAnsi="Times New Roman" w:cs="Times New Roman"/>
          <w:sz w:val="20"/>
          <w:szCs w:val="20"/>
        </w:rPr>
        <w:t>Schedule of Changes in Fiduciary Net Position by Employer and accompanying notes</w:t>
      </w:r>
      <w:r w:rsidR="00D26E78" w:rsidRPr="00F9304C">
        <w:rPr>
          <w:rFonts w:ascii="Times New Roman" w:eastAsia="Calibri" w:hAnsi="Times New Roman" w:cs="Times New Roman"/>
          <w:sz w:val="20"/>
          <w:szCs w:val="20"/>
        </w:rPr>
        <w:t xml:space="preserve"> is also available</w:t>
      </w:r>
      <w:r w:rsidRPr="00F9304C">
        <w:rPr>
          <w:rFonts w:ascii="Times New Roman" w:eastAsia="Calibri" w:hAnsi="Times New Roman" w:cs="Times New Roman"/>
          <w:sz w:val="20"/>
          <w:szCs w:val="20"/>
        </w:rPr>
        <w:t xml:space="preserve">. The additional financial and actuarial information is available at </w:t>
      </w:r>
      <w:hyperlink r:id="rId16" w:history="1">
        <w:r w:rsidR="00641B2C" w:rsidRPr="00F9304C">
          <w:rPr>
            <w:rStyle w:val="Hyperlink"/>
            <w:rFonts w:ascii="Times New Roman" w:hAnsi="Times New Roman" w:cs="Times New Roman"/>
            <w:sz w:val="20"/>
            <w:szCs w:val="20"/>
          </w:rPr>
          <w:t>http://www.rsa-al.gov/index.php/employers/financial-reports/gasb-68-reports/</w:t>
        </w:r>
      </w:hyperlink>
      <w:r w:rsidRPr="00F9304C">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w:t>
      </w:r>
    </w:p>
    <w:p w14:paraId="3076A528"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4D822AB2"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630814DE" w14:textId="77777777"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7" w:name="Pg215"/>
      <w:bookmarkEnd w:id="7"/>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14:paraId="481569D5" w14:textId="77777777"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889DA68" w14:textId="57365F9A"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w:t>
      </w:r>
      <w:r w:rsidR="00316F01">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Pr="0004552D">
        <w:rPr>
          <w:rFonts w:ascii="Times New Roman" w:eastAsia="Calibri" w:hAnsi="Times New Roman" w:cs="Times New Roman"/>
          <w:sz w:val="20"/>
          <w:szCs w:val="20"/>
        </w:rPr>
        <w:t xml:space="preserve">, the </w:t>
      </w:r>
      <w:proofErr w:type="gramStart"/>
      <w:r w:rsidRPr="0004552D">
        <w:rPr>
          <w:rFonts w:ascii="Times New Roman" w:eastAsia="Calibri" w:hAnsi="Times New Roman" w:cs="Times New Roman"/>
          <w:sz w:val="20"/>
          <w:szCs w:val="20"/>
        </w:rPr>
        <w:t>City</w:t>
      </w:r>
      <w:proofErr w:type="gramEnd"/>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w:t>
      </w:r>
      <w:proofErr w:type="gramStart"/>
      <w:r w:rsidR="002C7AC2" w:rsidRPr="0004552D">
        <w:rPr>
          <w:rFonts w:ascii="Times New Roman" w:eastAsia="Calibri" w:hAnsi="Times New Roman" w:cs="Times New Roman"/>
          <w:sz w:val="20"/>
          <w:szCs w:val="20"/>
        </w:rPr>
        <w:t>At</w:t>
      </w:r>
      <w:proofErr w:type="gramEnd"/>
      <w:r w:rsidR="002C7AC2" w:rsidRPr="0004552D">
        <w:rPr>
          <w:rFonts w:ascii="Times New Roman" w:eastAsia="Calibri" w:hAnsi="Times New Roman" w:cs="Times New Roman"/>
          <w:sz w:val="20"/>
          <w:szCs w:val="20"/>
        </w:rPr>
        <w:t xml:space="preserve"> September 30, </w:t>
      </w:r>
      <w:r w:rsidR="00AE6CD3">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14:paraId="5B8CB34D" w14:textId="77777777" w:rsidR="00017813" w:rsidRPr="0004552D" w:rsidRDefault="002870C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12ED2F0D">
          <v:shape id="_x0000_s1030" type="#_x0000_t75" style="position:absolute;left:0;text-align:left;margin-left:0;margin-top:11.5pt;width:376.1pt;height:110.9pt;z-index:251666432;mso-position-horizontal:center;mso-position-horizontal-relative:text;mso-position-vertical:absolute;mso-position-vertical-relative:text">
            <v:imagedata r:id="rId17" o:title=""/>
            <o:lock v:ext="edit" aspectratio="f"/>
          </v:shape>
          <o:OLEObject Type="Embed" ProgID="Excel.Sheet.12" ShapeID="_x0000_s1030" DrawAspect="Content" ObjectID="_1812784975" r:id="rId18"/>
        </w:object>
      </w:r>
    </w:p>
    <w:p w14:paraId="3FC783FD"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641F53C7"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20DDF574"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E1E15CA"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6336DE7E"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B026835"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36648A54"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A1B8085"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1C1E5D83" w14:textId="77777777"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53F63358" w14:textId="77777777"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271C9F1F" w14:textId="4A9B87CE" w:rsidR="00BA1384"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w:t>
      </w:r>
      <w:r w:rsidR="00316F01">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00BA1384" w:rsidRPr="0004552D">
        <w:rPr>
          <w:rFonts w:ascii="Times New Roman" w:eastAsia="Calibri" w:hAnsi="Times New Roman" w:cs="Times New Roman"/>
          <w:sz w:val="20"/>
          <w:szCs w:val="20"/>
        </w:rPr>
        <w:t xml:space="preserve"> employer contributions </w:t>
      </w:r>
      <w:r w:rsidR="00EF1E30">
        <w:rPr>
          <w:rFonts w:ascii="Times New Roman" w:eastAsia="Calibri" w:hAnsi="Times New Roman" w:cs="Times New Roman"/>
          <w:sz w:val="20"/>
          <w:szCs w:val="20"/>
        </w:rPr>
        <w:t xml:space="preserve">paid </w:t>
      </w:r>
      <w:proofErr w:type="gramStart"/>
      <w:r w:rsidR="00EF1E30">
        <w:rPr>
          <w:rFonts w:ascii="Times New Roman" w:eastAsia="Calibri" w:hAnsi="Times New Roman" w:cs="Times New Roman"/>
          <w:sz w:val="20"/>
          <w:szCs w:val="20"/>
        </w:rPr>
        <w:t>subsequent to</w:t>
      </w:r>
      <w:proofErr w:type="gramEnd"/>
      <w:r w:rsidR="00EF1E30">
        <w:rPr>
          <w:rFonts w:ascii="Times New Roman" w:eastAsia="Calibri" w:hAnsi="Times New Roman" w:cs="Times New Roman"/>
          <w:sz w:val="20"/>
          <w:szCs w:val="20"/>
        </w:rPr>
        <w:t xml:space="preserve"> the measurement date</w:t>
      </w:r>
      <w:r w:rsidR="00BA1384" w:rsidRPr="0004552D">
        <w:rPr>
          <w:rFonts w:ascii="Times New Roman" w:eastAsia="Calibri" w:hAnsi="Times New Roman" w:cs="Times New Roman"/>
          <w:sz w:val="20"/>
          <w:szCs w:val="20"/>
        </w:rPr>
        <w:t xml:space="preserve"> and add for total Deferred Outflows of Resources.</w:t>
      </w:r>
    </w:p>
    <w:p w14:paraId="10112E2C" w14:textId="77777777" w:rsidR="00C2317C"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E251384" w14:textId="06639B3C" w:rsidR="00C2317C" w:rsidRPr="00C2317C" w:rsidRDefault="00C2317C" w:rsidP="00C2317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317C">
        <w:rPr>
          <w:rFonts w:ascii="Times New Roman" w:eastAsia="Calibri" w:hAnsi="Times New Roman" w:cs="Times New Roman"/>
          <w:sz w:val="20"/>
          <w:szCs w:val="20"/>
        </w:rPr>
        <w:t>$*[FY20</w:t>
      </w:r>
      <w:r>
        <w:rPr>
          <w:rFonts w:ascii="Times New Roman" w:eastAsia="Calibri" w:hAnsi="Times New Roman" w:cs="Times New Roman"/>
          <w:sz w:val="20"/>
          <w:szCs w:val="20"/>
        </w:rPr>
        <w:t>2</w:t>
      </w:r>
      <w:r w:rsidR="00F61FC8">
        <w:rPr>
          <w:rFonts w:ascii="Times New Roman" w:eastAsia="Calibri" w:hAnsi="Times New Roman" w:cs="Times New Roman"/>
          <w:sz w:val="20"/>
          <w:szCs w:val="20"/>
        </w:rPr>
        <w:t>5</w:t>
      </w:r>
      <w:r w:rsidRPr="00C2317C">
        <w:rPr>
          <w:rFonts w:ascii="Times New Roman" w:eastAsia="Calibri" w:hAnsi="Times New Roman" w:cs="Times New Roman"/>
          <w:sz w:val="20"/>
          <w:szCs w:val="20"/>
        </w:rPr>
        <w:t xml:space="preserve"> Employer Contributions </w:t>
      </w:r>
      <w:proofErr w:type="gramStart"/>
      <w:r w:rsidRPr="00C2317C">
        <w:rPr>
          <w:rFonts w:ascii="Times New Roman" w:eastAsia="Calibri" w:hAnsi="Times New Roman" w:cs="Times New Roman"/>
          <w:sz w:val="20"/>
          <w:szCs w:val="20"/>
        </w:rPr>
        <w:t>subsequent to</w:t>
      </w:r>
      <w:proofErr w:type="gramEnd"/>
      <w:r w:rsidRPr="00C2317C">
        <w:rPr>
          <w:rFonts w:ascii="Times New Roman" w:eastAsia="Calibri" w:hAnsi="Times New Roman" w:cs="Times New Roman"/>
          <w:sz w:val="20"/>
          <w:szCs w:val="20"/>
        </w:rPr>
        <w:t xml:space="preserve"> the measurement date (see amount * above)] reported as deferred outflows of resources related to pensions resulting from </w:t>
      </w:r>
      <w:r w:rsidR="00EF1E30">
        <w:rPr>
          <w:rFonts w:ascii="Times New Roman" w:eastAsia="Calibri" w:hAnsi="Times New Roman" w:cs="Times New Roman"/>
          <w:sz w:val="20"/>
          <w:szCs w:val="20"/>
        </w:rPr>
        <w:t>City’s</w:t>
      </w:r>
      <w:r w:rsidRPr="00C2317C">
        <w:rPr>
          <w:rFonts w:ascii="Times New Roman" w:eastAsia="Calibri" w:hAnsi="Times New Roman" w:cs="Times New Roman"/>
          <w:sz w:val="20"/>
          <w:szCs w:val="20"/>
        </w:rPr>
        <w:t xml:space="preserve"> contributions subsequent to the measurement date will be recognized as a reduction of the net pension liability in the year ended September 30, 20</w:t>
      </w:r>
      <w:r>
        <w:rPr>
          <w:rFonts w:ascii="Times New Roman" w:eastAsia="Calibri" w:hAnsi="Times New Roman" w:cs="Times New Roman"/>
          <w:sz w:val="20"/>
          <w:szCs w:val="20"/>
        </w:rPr>
        <w:t>2</w:t>
      </w:r>
      <w:r w:rsidR="00F61FC8">
        <w:rPr>
          <w:rFonts w:ascii="Times New Roman" w:eastAsia="Calibri" w:hAnsi="Times New Roman" w:cs="Times New Roman"/>
          <w:sz w:val="20"/>
          <w:szCs w:val="20"/>
        </w:rPr>
        <w:t>6</w:t>
      </w:r>
      <w:r w:rsidRPr="00C2317C">
        <w:rPr>
          <w:rFonts w:ascii="Times New Roman" w:eastAsia="Calibri" w:hAnsi="Times New Roman" w:cs="Times New Roman"/>
          <w:sz w:val="20"/>
          <w:szCs w:val="20"/>
        </w:rPr>
        <w:t>. Other amounts reported as deferred outflows of resources and deferred inflows of resources related to pensions will be recognized in pension expense as follows:</w:t>
      </w:r>
    </w:p>
    <w:p w14:paraId="6F6A9E5E" w14:textId="77777777" w:rsidR="00C2317C" w:rsidRPr="0004552D"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684A803F" w14:textId="77777777"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0D26D3B8" w14:textId="77777777"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14:paraId="259503BA" w14:textId="77777777"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14:paraId="38359AD4" w14:textId="77777777" w:rsidTr="0004552D">
        <w:trPr>
          <w:jc w:val="center"/>
        </w:trPr>
        <w:tc>
          <w:tcPr>
            <w:tcW w:w="4005" w:type="dxa"/>
          </w:tcPr>
          <w:p w14:paraId="60BCADCA" w14:textId="77777777" w:rsidR="00C360E1" w:rsidRPr="00316F01" w:rsidRDefault="00C360E1" w:rsidP="00110EC0">
            <w:pPr>
              <w:autoSpaceDE w:val="0"/>
              <w:autoSpaceDN w:val="0"/>
              <w:adjustRightInd w:val="0"/>
              <w:jc w:val="both"/>
              <w:rPr>
                <w:rFonts w:ascii="Times New Roman" w:hAnsi="Times New Roman" w:cs="Times New Roman"/>
                <w:b/>
                <w:sz w:val="20"/>
                <w:szCs w:val="20"/>
              </w:rPr>
            </w:pPr>
            <w:r w:rsidRPr="00316F01">
              <w:rPr>
                <w:rFonts w:ascii="Times New Roman" w:hAnsi="Times New Roman" w:cs="Times New Roman"/>
                <w:b/>
                <w:sz w:val="20"/>
                <w:szCs w:val="20"/>
              </w:rPr>
              <w:t>Year ended September 30:</w:t>
            </w:r>
          </w:p>
        </w:tc>
        <w:tc>
          <w:tcPr>
            <w:tcW w:w="4005" w:type="dxa"/>
          </w:tcPr>
          <w:p w14:paraId="41641991" w14:textId="77777777"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14:paraId="3D074383" w14:textId="77777777" w:rsidTr="0004552D">
        <w:trPr>
          <w:jc w:val="center"/>
        </w:trPr>
        <w:tc>
          <w:tcPr>
            <w:tcW w:w="4005" w:type="dxa"/>
          </w:tcPr>
          <w:p w14:paraId="7B8197F8" w14:textId="5FBF4E1F"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w:t>
            </w:r>
            <w:r w:rsidR="00316F01" w:rsidRPr="00F92C82">
              <w:rPr>
                <w:rFonts w:ascii="Times New Roman" w:hAnsi="Times New Roman" w:cs="Times New Roman"/>
                <w:sz w:val="20"/>
                <w:szCs w:val="20"/>
              </w:rPr>
              <w:t>2</w:t>
            </w:r>
            <w:r w:rsidR="00F61FC8">
              <w:rPr>
                <w:rFonts w:ascii="Times New Roman" w:hAnsi="Times New Roman" w:cs="Times New Roman"/>
                <w:sz w:val="20"/>
                <w:szCs w:val="20"/>
              </w:rPr>
              <w:t>6</w:t>
            </w:r>
          </w:p>
        </w:tc>
        <w:tc>
          <w:tcPr>
            <w:tcW w:w="4005" w:type="dxa"/>
          </w:tcPr>
          <w:p w14:paraId="35B006F2"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4BC90811" w14:textId="77777777" w:rsidTr="0004552D">
        <w:trPr>
          <w:jc w:val="center"/>
        </w:trPr>
        <w:tc>
          <w:tcPr>
            <w:tcW w:w="4005" w:type="dxa"/>
          </w:tcPr>
          <w:p w14:paraId="5AB5CB02" w14:textId="287CD0AD"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61FC8">
              <w:rPr>
                <w:rFonts w:ascii="Times New Roman" w:hAnsi="Times New Roman" w:cs="Times New Roman"/>
                <w:sz w:val="20"/>
                <w:szCs w:val="20"/>
              </w:rPr>
              <w:t>7</w:t>
            </w:r>
          </w:p>
        </w:tc>
        <w:tc>
          <w:tcPr>
            <w:tcW w:w="4005" w:type="dxa"/>
          </w:tcPr>
          <w:p w14:paraId="0B3A0471"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5370AD1A" w14:textId="77777777" w:rsidTr="0004552D">
        <w:trPr>
          <w:jc w:val="center"/>
        </w:trPr>
        <w:tc>
          <w:tcPr>
            <w:tcW w:w="4005" w:type="dxa"/>
          </w:tcPr>
          <w:p w14:paraId="7A4743AC" w14:textId="54BB42F3"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61FC8">
              <w:rPr>
                <w:rFonts w:ascii="Times New Roman" w:hAnsi="Times New Roman" w:cs="Times New Roman"/>
                <w:sz w:val="20"/>
                <w:szCs w:val="20"/>
              </w:rPr>
              <w:t>8</w:t>
            </w:r>
          </w:p>
        </w:tc>
        <w:tc>
          <w:tcPr>
            <w:tcW w:w="4005" w:type="dxa"/>
          </w:tcPr>
          <w:p w14:paraId="1AFC12F9"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72420D9E" w14:textId="77777777" w:rsidTr="0004552D">
        <w:trPr>
          <w:jc w:val="center"/>
        </w:trPr>
        <w:tc>
          <w:tcPr>
            <w:tcW w:w="4005" w:type="dxa"/>
          </w:tcPr>
          <w:p w14:paraId="24ADA5B3" w14:textId="54760C8A"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61FC8">
              <w:rPr>
                <w:rFonts w:ascii="Times New Roman" w:hAnsi="Times New Roman" w:cs="Times New Roman"/>
                <w:sz w:val="20"/>
                <w:szCs w:val="20"/>
              </w:rPr>
              <w:t>9</w:t>
            </w:r>
          </w:p>
        </w:tc>
        <w:tc>
          <w:tcPr>
            <w:tcW w:w="4005" w:type="dxa"/>
          </w:tcPr>
          <w:p w14:paraId="34BA830B"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14:paraId="780934C8" w14:textId="77777777" w:rsidTr="0004552D">
        <w:trPr>
          <w:jc w:val="center"/>
        </w:trPr>
        <w:tc>
          <w:tcPr>
            <w:tcW w:w="4005" w:type="dxa"/>
          </w:tcPr>
          <w:p w14:paraId="6B115152" w14:textId="44BA821D" w:rsidR="00BA1384"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w:t>
            </w:r>
            <w:r w:rsidR="00F61FC8">
              <w:rPr>
                <w:rFonts w:ascii="Times New Roman" w:hAnsi="Times New Roman" w:cs="Times New Roman"/>
                <w:sz w:val="20"/>
                <w:szCs w:val="20"/>
              </w:rPr>
              <w:t>30</w:t>
            </w:r>
          </w:p>
        </w:tc>
        <w:tc>
          <w:tcPr>
            <w:tcW w:w="4005" w:type="dxa"/>
          </w:tcPr>
          <w:p w14:paraId="1269986C" w14:textId="77777777"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52FDB775" w14:textId="77777777" w:rsidTr="0004552D">
        <w:trPr>
          <w:jc w:val="center"/>
        </w:trPr>
        <w:tc>
          <w:tcPr>
            <w:tcW w:w="4005" w:type="dxa"/>
          </w:tcPr>
          <w:p w14:paraId="143ADCC9" w14:textId="77777777" w:rsidR="00C360E1" w:rsidRPr="00316F01" w:rsidRDefault="00C360E1"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Thereafter</w:t>
            </w:r>
          </w:p>
        </w:tc>
        <w:tc>
          <w:tcPr>
            <w:tcW w:w="4005" w:type="dxa"/>
          </w:tcPr>
          <w:p w14:paraId="3134D5E0"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14:paraId="6A73EF79" w14:textId="77777777"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14:paraId="7CB6EB57" w14:textId="77777777"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14:paraId="106F6883" w14:textId="77777777"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14:paraId="1D091F77" w14:textId="77777777"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E96C" w14:textId="77777777" w:rsidR="00E4057F" w:rsidRDefault="00E4057F" w:rsidP="003D1EE5">
      <w:pPr>
        <w:spacing w:after="0" w:line="240" w:lineRule="auto"/>
      </w:pPr>
      <w:r>
        <w:separator/>
      </w:r>
    </w:p>
  </w:endnote>
  <w:endnote w:type="continuationSeparator" w:id="0">
    <w:p w14:paraId="3C1A3BD9" w14:textId="77777777"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B049" w14:textId="77777777" w:rsidR="00E4057F" w:rsidRDefault="00E4057F" w:rsidP="003D1EE5">
      <w:pPr>
        <w:spacing w:after="0" w:line="240" w:lineRule="auto"/>
      </w:pPr>
      <w:r>
        <w:separator/>
      </w:r>
    </w:p>
  </w:footnote>
  <w:footnote w:type="continuationSeparator" w:id="0">
    <w:p w14:paraId="09B463EE" w14:textId="77777777"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6906706">
    <w:abstractNumId w:val="1"/>
  </w:num>
  <w:num w:numId="2" w16cid:durableId="69720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0B0D"/>
    <w:rsid w:val="00095BA8"/>
    <w:rsid w:val="00095C3C"/>
    <w:rsid w:val="000B0B7C"/>
    <w:rsid w:val="000B594E"/>
    <w:rsid w:val="000E20DF"/>
    <w:rsid w:val="000E6C24"/>
    <w:rsid w:val="00110EC0"/>
    <w:rsid w:val="0013199E"/>
    <w:rsid w:val="001702F5"/>
    <w:rsid w:val="00176DA7"/>
    <w:rsid w:val="00215DD1"/>
    <w:rsid w:val="00237BEE"/>
    <w:rsid w:val="00240B89"/>
    <w:rsid w:val="00245B4C"/>
    <w:rsid w:val="00247106"/>
    <w:rsid w:val="002870C4"/>
    <w:rsid w:val="0029138C"/>
    <w:rsid w:val="002C7AC2"/>
    <w:rsid w:val="002D386B"/>
    <w:rsid w:val="00316F01"/>
    <w:rsid w:val="00324E0D"/>
    <w:rsid w:val="00397933"/>
    <w:rsid w:val="003A7EAC"/>
    <w:rsid w:val="003D1EE5"/>
    <w:rsid w:val="003E796D"/>
    <w:rsid w:val="003F2C17"/>
    <w:rsid w:val="003F7674"/>
    <w:rsid w:val="00407CE0"/>
    <w:rsid w:val="00416597"/>
    <w:rsid w:val="00426AA7"/>
    <w:rsid w:val="00454F6C"/>
    <w:rsid w:val="0046199E"/>
    <w:rsid w:val="00477608"/>
    <w:rsid w:val="004776E7"/>
    <w:rsid w:val="004818FF"/>
    <w:rsid w:val="00493FA7"/>
    <w:rsid w:val="00524A81"/>
    <w:rsid w:val="0052592A"/>
    <w:rsid w:val="00525F93"/>
    <w:rsid w:val="005419C7"/>
    <w:rsid w:val="00545911"/>
    <w:rsid w:val="00594D32"/>
    <w:rsid w:val="005F1423"/>
    <w:rsid w:val="00602DF3"/>
    <w:rsid w:val="00615463"/>
    <w:rsid w:val="006347F2"/>
    <w:rsid w:val="00641B2C"/>
    <w:rsid w:val="00653F5C"/>
    <w:rsid w:val="006F10CB"/>
    <w:rsid w:val="00704655"/>
    <w:rsid w:val="00710126"/>
    <w:rsid w:val="00723264"/>
    <w:rsid w:val="0072353B"/>
    <w:rsid w:val="00735DE4"/>
    <w:rsid w:val="007459C5"/>
    <w:rsid w:val="0074755F"/>
    <w:rsid w:val="00760A3F"/>
    <w:rsid w:val="0077074C"/>
    <w:rsid w:val="007A6A99"/>
    <w:rsid w:val="007F083A"/>
    <w:rsid w:val="007F21B0"/>
    <w:rsid w:val="00805C64"/>
    <w:rsid w:val="00825D70"/>
    <w:rsid w:val="00826293"/>
    <w:rsid w:val="008378C7"/>
    <w:rsid w:val="00837EA4"/>
    <w:rsid w:val="008434A2"/>
    <w:rsid w:val="00843999"/>
    <w:rsid w:val="008B0574"/>
    <w:rsid w:val="008D7489"/>
    <w:rsid w:val="00905AC3"/>
    <w:rsid w:val="009133F0"/>
    <w:rsid w:val="009471AE"/>
    <w:rsid w:val="00947E46"/>
    <w:rsid w:val="0096394D"/>
    <w:rsid w:val="009A1FB8"/>
    <w:rsid w:val="009C6DD2"/>
    <w:rsid w:val="009E4838"/>
    <w:rsid w:val="00A3795D"/>
    <w:rsid w:val="00A854EE"/>
    <w:rsid w:val="00A94F4C"/>
    <w:rsid w:val="00AE6CD3"/>
    <w:rsid w:val="00B035E0"/>
    <w:rsid w:val="00B23F37"/>
    <w:rsid w:val="00B3652A"/>
    <w:rsid w:val="00B90404"/>
    <w:rsid w:val="00BA1384"/>
    <w:rsid w:val="00BB6E9F"/>
    <w:rsid w:val="00C2317C"/>
    <w:rsid w:val="00C26E99"/>
    <w:rsid w:val="00C2794C"/>
    <w:rsid w:val="00C355BE"/>
    <w:rsid w:val="00C360E1"/>
    <w:rsid w:val="00C3736F"/>
    <w:rsid w:val="00C43CFB"/>
    <w:rsid w:val="00C81438"/>
    <w:rsid w:val="00CB50CA"/>
    <w:rsid w:val="00CC5E05"/>
    <w:rsid w:val="00CE1C0B"/>
    <w:rsid w:val="00D045E4"/>
    <w:rsid w:val="00D26E78"/>
    <w:rsid w:val="00D27F43"/>
    <w:rsid w:val="00D4638C"/>
    <w:rsid w:val="00DD118B"/>
    <w:rsid w:val="00DF34D6"/>
    <w:rsid w:val="00E27FFA"/>
    <w:rsid w:val="00E4057F"/>
    <w:rsid w:val="00E83C8F"/>
    <w:rsid w:val="00E85600"/>
    <w:rsid w:val="00EB1862"/>
    <w:rsid w:val="00EE3FC2"/>
    <w:rsid w:val="00EF1E30"/>
    <w:rsid w:val="00F34DA1"/>
    <w:rsid w:val="00F35C21"/>
    <w:rsid w:val="00F47A28"/>
    <w:rsid w:val="00F513BE"/>
    <w:rsid w:val="00F61FC8"/>
    <w:rsid w:val="00F62F05"/>
    <w:rsid w:val="00F74052"/>
    <w:rsid w:val="00F8317D"/>
    <w:rsid w:val="00F92C82"/>
    <w:rsid w:val="00F9304C"/>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89675F8"/>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package" Target="embeddings/Microsoft_Excel_Worksheet4.xlsx"/><Relationship Id="rId3" Type="http://schemas.openxmlformats.org/officeDocument/2006/relationships/settings" Target="settings.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rsa-al.gov/index.php/employers/financial-reports/gasb-68-repor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2843</Words>
  <Characters>15848</Characters>
  <Application>Microsoft Office Word</Application>
  <DocSecurity>0</DocSecurity>
  <Lines>288</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10</cp:revision>
  <cp:lastPrinted>2021-07-09T20:13:00Z</cp:lastPrinted>
  <dcterms:created xsi:type="dcterms:W3CDTF">2024-01-17T14:44:00Z</dcterms:created>
  <dcterms:modified xsi:type="dcterms:W3CDTF">2025-06-30T15:36:00Z</dcterms:modified>
</cp:coreProperties>
</file>